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B7E" w:rsidRDefault="00B33B7E" w:rsidP="00456AB5">
      <w:pPr>
        <w:tabs>
          <w:tab w:val="left" w:pos="180"/>
          <w:tab w:val="left" w:pos="1134"/>
        </w:tabs>
        <w:jc w:val="both"/>
        <w:rPr>
          <w:rFonts w:asciiTheme="minorHAnsi" w:hAnsiTheme="minorHAnsi"/>
          <w:b/>
          <w:bCs/>
          <w:sz w:val="22"/>
          <w:szCs w:val="22"/>
        </w:rPr>
      </w:pPr>
      <w:r w:rsidRPr="00B33B7E">
        <w:rPr>
          <w:rFonts w:asciiTheme="minorHAnsi" w:hAnsiTheme="minorHAnsi"/>
          <w:b/>
          <w:bCs/>
          <w:sz w:val="22"/>
          <w:szCs w:val="22"/>
        </w:rPr>
        <w:drawing>
          <wp:inline distT="0" distB="0" distL="0" distR="0">
            <wp:extent cx="1739412" cy="448408"/>
            <wp:effectExtent l="19050" t="0" r="0" b="0"/>
            <wp:docPr id="1" name="Image 1"/>
            <wp:cNvGraphicFramePr/>
            <a:graphic xmlns:a="http://schemas.openxmlformats.org/drawingml/2006/main">
              <a:graphicData uri="http://schemas.openxmlformats.org/drawingml/2006/picture">
                <pic:pic xmlns:pic="http://schemas.openxmlformats.org/drawingml/2006/picture">
                  <pic:nvPicPr>
                    <pic:cNvPr id="4099" name="Picture 7"/>
                    <pic:cNvPicPr>
                      <a:picLocks noChangeAspect="1" noChangeArrowheads="1"/>
                    </pic:cNvPicPr>
                  </pic:nvPicPr>
                  <pic:blipFill>
                    <a:blip r:embed="rId8" cstate="print"/>
                    <a:srcRect l="217" t="1367" r="1591" b="7062"/>
                    <a:stretch>
                      <a:fillRect/>
                    </a:stretch>
                  </pic:blipFill>
                  <pic:spPr bwMode="auto">
                    <a:xfrm>
                      <a:off x="0" y="0"/>
                      <a:ext cx="1752660" cy="451823"/>
                    </a:xfrm>
                    <a:prstGeom prst="rect">
                      <a:avLst/>
                    </a:prstGeom>
                    <a:noFill/>
                    <a:ln w="9525">
                      <a:noFill/>
                      <a:miter lim="800000"/>
                      <a:headEnd/>
                      <a:tailEnd/>
                    </a:ln>
                  </pic:spPr>
                </pic:pic>
              </a:graphicData>
            </a:graphic>
          </wp:inline>
        </w:drawing>
      </w:r>
    </w:p>
    <w:p w:rsidR="00B33B7E" w:rsidRPr="005C74C7" w:rsidRDefault="00B33B7E" w:rsidP="00456AB5">
      <w:pPr>
        <w:tabs>
          <w:tab w:val="left" w:pos="180"/>
          <w:tab w:val="left" w:pos="1134"/>
        </w:tabs>
        <w:jc w:val="both"/>
        <w:rPr>
          <w:rFonts w:asciiTheme="minorHAnsi" w:hAnsiTheme="minorHAnsi"/>
          <w:b/>
          <w:bCs/>
          <w:sz w:val="16"/>
          <w:szCs w:val="16"/>
        </w:rPr>
      </w:pPr>
    </w:p>
    <w:p w:rsidR="00F82295" w:rsidRPr="00B6578F" w:rsidRDefault="00F82295" w:rsidP="00456AB5">
      <w:pPr>
        <w:tabs>
          <w:tab w:val="left" w:pos="180"/>
          <w:tab w:val="left" w:pos="1134"/>
        </w:tabs>
        <w:jc w:val="both"/>
        <w:rPr>
          <w:rFonts w:asciiTheme="minorHAnsi" w:hAnsiTheme="minorHAnsi"/>
          <w:b/>
          <w:bCs/>
          <w:sz w:val="22"/>
          <w:szCs w:val="22"/>
        </w:rPr>
      </w:pPr>
      <w:r w:rsidRPr="00B6578F">
        <w:rPr>
          <w:rFonts w:asciiTheme="minorHAnsi" w:hAnsiTheme="minorHAnsi"/>
          <w:b/>
          <w:bCs/>
          <w:sz w:val="22"/>
          <w:szCs w:val="22"/>
        </w:rPr>
        <w:t>Musée du Louvre, service études et recherche</w:t>
      </w:r>
    </w:p>
    <w:p w:rsidR="00F82295" w:rsidRPr="005C74C7" w:rsidRDefault="00F82295" w:rsidP="00456AB5">
      <w:pPr>
        <w:tabs>
          <w:tab w:val="left" w:pos="180"/>
          <w:tab w:val="left" w:pos="1134"/>
        </w:tabs>
        <w:jc w:val="both"/>
        <w:rPr>
          <w:rFonts w:asciiTheme="minorHAnsi" w:hAnsiTheme="minorHAnsi"/>
          <w:bCs/>
          <w:sz w:val="16"/>
          <w:szCs w:val="16"/>
        </w:rPr>
      </w:pPr>
    </w:p>
    <w:p w:rsidR="009A22EA" w:rsidRPr="005C74C7" w:rsidRDefault="000127C1" w:rsidP="00456AB5">
      <w:pPr>
        <w:tabs>
          <w:tab w:val="left" w:pos="180"/>
          <w:tab w:val="left" w:pos="1134"/>
        </w:tabs>
        <w:jc w:val="both"/>
        <w:rPr>
          <w:rFonts w:asciiTheme="minorHAnsi" w:hAnsiTheme="minorHAnsi"/>
          <w:bCs/>
          <w:sz w:val="20"/>
          <w:szCs w:val="20"/>
        </w:rPr>
      </w:pPr>
      <w:hyperlink r:id="rId9" w:history="1">
        <w:r w:rsidR="004E20D8" w:rsidRPr="005C74C7">
          <w:rPr>
            <w:rStyle w:val="Lienhypertexte"/>
            <w:rFonts w:asciiTheme="minorHAnsi" w:hAnsiTheme="minorHAnsi"/>
            <w:bCs/>
            <w:sz w:val="20"/>
            <w:szCs w:val="20"/>
          </w:rPr>
          <w:t>anne.krebs@louvre.fr</w:t>
        </w:r>
      </w:hyperlink>
    </w:p>
    <w:p w:rsidR="009A22EA" w:rsidRPr="00B6578F" w:rsidRDefault="009A22EA" w:rsidP="00456AB5">
      <w:pPr>
        <w:tabs>
          <w:tab w:val="left" w:pos="180"/>
          <w:tab w:val="left" w:pos="1134"/>
        </w:tabs>
        <w:jc w:val="both"/>
        <w:rPr>
          <w:rFonts w:asciiTheme="minorHAnsi" w:hAnsiTheme="minorHAnsi"/>
          <w:bCs/>
          <w:sz w:val="22"/>
          <w:szCs w:val="22"/>
        </w:rPr>
      </w:pPr>
    </w:p>
    <w:p w:rsidR="00576AAC" w:rsidRDefault="00576AAC" w:rsidP="00336728">
      <w:pPr>
        <w:tabs>
          <w:tab w:val="left" w:pos="180"/>
          <w:tab w:val="left" w:pos="1134"/>
        </w:tabs>
        <w:jc w:val="both"/>
        <w:rPr>
          <w:rFonts w:asciiTheme="minorHAnsi" w:hAnsiTheme="minorHAnsi"/>
          <w:bCs/>
          <w:sz w:val="22"/>
          <w:szCs w:val="22"/>
        </w:rPr>
      </w:pPr>
    </w:p>
    <w:p w:rsidR="00EE7956" w:rsidRPr="00B6578F" w:rsidRDefault="00EE7956" w:rsidP="00336728">
      <w:pPr>
        <w:tabs>
          <w:tab w:val="left" w:pos="180"/>
          <w:tab w:val="left" w:pos="1134"/>
        </w:tabs>
        <w:jc w:val="both"/>
        <w:rPr>
          <w:rFonts w:asciiTheme="minorHAnsi" w:hAnsiTheme="minorHAnsi"/>
          <w:bCs/>
          <w:sz w:val="22"/>
          <w:szCs w:val="22"/>
        </w:rPr>
      </w:pPr>
      <w:r w:rsidRPr="00B6578F">
        <w:rPr>
          <w:rFonts w:asciiTheme="minorHAnsi" w:hAnsiTheme="minorHAnsi"/>
          <w:bCs/>
          <w:sz w:val="22"/>
          <w:szCs w:val="22"/>
        </w:rPr>
        <w:t>Au sein de la Direction de la politique des publics et de l’</w:t>
      </w:r>
      <w:r w:rsidR="00DA4422">
        <w:rPr>
          <w:rFonts w:asciiTheme="minorHAnsi" w:hAnsiTheme="minorHAnsi"/>
          <w:bCs/>
          <w:sz w:val="22"/>
          <w:szCs w:val="22"/>
        </w:rPr>
        <w:t>éducation artistique</w:t>
      </w:r>
      <w:r w:rsidRPr="00B6578F">
        <w:rPr>
          <w:rFonts w:asciiTheme="minorHAnsi" w:hAnsiTheme="minorHAnsi"/>
          <w:bCs/>
          <w:sz w:val="22"/>
          <w:szCs w:val="22"/>
        </w:rPr>
        <w:t>, le service études et recherche, créé en 2002, conduit des études qualitatives et quantitatives sur les publics, les usages et la réception de l’offre éducative et culturelle.</w:t>
      </w:r>
      <w:r w:rsidR="00E215FE">
        <w:rPr>
          <w:rFonts w:asciiTheme="minorHAnsi" w:hAnsiTheme="minorHAnsi"/>
          <w:bCs/>
          <w:sz w:val="22"/>
          <w:szCs w:val="22"/>
        </w:rPr>
        <w:t xml:space="preserve"> </w:t>
      </w:r>
      <w:r w:rsidRPr="00B6578F">
        <w:rPr>
          <w:rFonts w:asciiTheme="minorHAnsi" w:hAnsiTheme="minorHAnsi"/>
          <w:bCs/>
          <w:sz w:val="22"/>
          <w:szCs w:val="22"/>
        </w:rPr>
        <w:t xml:space="preserve">Ces études, dont </w:t>
      </w:r>
      <w:r w:rsidR="008C2F91" w:rsidRPr="00B6578F">
        <w:rPr>
          <w:rFonts w:asciiTheme="minorHAnsi" w:hAnsiTheme="minorHAnsi"/>
          <w:bCs/>
          <w:sz w:val="22"/>
          <w:szCs w:val="22"/>
        </w:rPr>
        <w:t>une</w:t>
      </w:r>
      <w:r w:rsidRPr="00B6578F">
        <w:rPr>
          <w:rFonts w:asciiTheme="minorHAnsi" w:hAnsiTheme="minorHAnsi"/>
          <w:bCs/>
          <w:sz w:val="22"/>
          <w:szCs w:val="22"/>
        </w:rPr>
        <w:t xml:space="preserve"> synthèse annuelle est disponible</w:t>
      </w:r>
      <w:r w:rsidR="00EA3654" w:rsidRPr="00B6578F">
        <w:rPr>
          <w:rFonts w:asciiTheme="minorHAnsi" w:hAnsiTheme="minorHAnsi"/>
          <w:bCs/>
          <w:sz w:val="22"/>
          <w:szCs w:val="22"/>
        </w:rPr>
        <w:t xml:space="preserve"> sur le site internet du Louvre (</w:t>
      </w:r>
      <w:hyperlink r:id="rId10" w:history="1">
        <w:r w:rsidR="00EA3654" w:rsidRPr="00B6578F">
          <w:rPr>
            <w:rStyle w:val="Lienhypertexte"/>
            <w:rFonts w:asciiTheme="minorHAnsi" w:hAnsiTheme="minorHAnsi"/>
            <w:bCs/>
            <w:sz w:val="22"/>
            <w:szCs w:val="22"/>
          </w:rPr>
          <w:t>http://www.louvre.fr/llv/musee/publics.jsp</w:t>
        </w:r>
      </w:hyperlink>
      <w:r w:rsidR="00EA3654" w:rsidRPr="00B6578F">
        <w:rPr>
          <w:rFonts w:asciiTheme="minorHAnsi" w:hAnsiTheme="minorHAnsi"/>
          <w:bCs/>
          <w:sz w:val="22"/>
          <w:szCs w:val="22"/>
        </w:rPr>
        <w:t xml:space="preserve">) </w:t>
      </w:r>
      <w:r w:rsidR="0014270E">
        <w:rPr>
          <w:rFonts w:asciiTheme="minorHAnsi" w:hAnsiTheme="minorHAnsi"/>
          <w:bCs/>
          <w:sz w:val="22"/>
          <w:szCs w:val="22"/>
        </w:rPr>
        <w:t>explorent</w:t>
      </w:r>
      <w:r w:rsidRPr="00B6578F">
        <w:rPr>
          <w:rFonts w:asciiTheme="minorHAnsi" w:hAnsiTheme="minorHAnsi"/>
          <w:bCs/>
          <w:sz w:val="22"/>
          <w:szCs w:val="22"/>
        </w:rPr>
        <w:t xml:space="preserve"> plusieurs champs complémentaires </w:t>
      </w:r>
      <w:r w:rsidR="006E143B">
        <w:rPr>
          <w:rFonts w:asciiTheme="minorHAnsi" w:hAnsiTheme="minorHAnsi"/>
          <w:bCs/>
          <w:sz w:val="22"/>
          <w:szCs w:val="22"/>
        </w:rPr>
        <w:t xml:space="preserve">et </w:t>
      </w:r>
      <w:r w:rsidR="0014270E">
        <w:rPr>
          <w:rFonts w:asciiTheme="minorHAnsi" w:hAnsiTheme="minorHAnsi"/>
          <w:bCs/>
          <w:sz w:val="22"/>
          <w:szCs w:val="22"/>
        </w:rPr>
        <w:t xml:space="preserve">couvrent </w:t>
      </w:r>
      <w:r w:rsidR="006E143B" w:rsidRPr="00B6578F">
        <w:rPr>
          <w:rFonts w:asciiTheme="minorHAnsi" w:hAnsiTheme="minorHAnsi"/>
          <w:bCs/>
          <w:sz w:val="22"/>
          <w:szCs w:val="22"/>
        </w:rPr>
        <w:t xml:space="preserve">des périmètres variés : musée du Louvre </w:t>
      </w:r>
      <w:r w:rsidR="006E143B" w:rsidRPr="00B6578F">
        <w:rPr>
          <w:rFonts w:asciiTheme="minorHAnsi" w:hAnsiTheme="minorHAnsi"/>
          <w:bCs/>
          <w:i/>
          <w:sz w:val="22"/>
          <w:szCs w:val="22"/>
        </w:rPr>
        <w:t>in situ</w:t>
      </w:r>
      <w:r w:rsidR="006E143B" w:rsidRPr="00B6578F">
        <w:rPr>
          <w:rFonts w:asciiTheme="minorHAnsi" w:hAnsiTheme="minorHAnsi"/>
          <w:bCs/>
          <w:sz w:val="22"/>
          <w:szCs w:val="22"/>
        </w:rPr>
        <w:t xml:space="preserve">, public national ou européen, </w:t>
      </w:r>
      <w:r w:rsidR="006E143B">
        <w:rPr>
          <w:rFonts w:asciiTheme="minorHAnsi" w:hAnsiTheme="minorHAnsi"/>
          <w:bCs/>
          <w:sz w:val="22"/>
          <w:szCs w:val="22"/>
        </w:rPr>
        <w:t>activités partenariales ou</w:t>
      </w:r>
      <w:r w:rsidR="006E143B" w:rsidRPr="00B6578F">
        <w:rPr>
          <w:rFonts w:asciiTheme="minorHAnsi" w:hAnsiTheme="minorHAnsi"/>
          <w:bCs/>
          <w:sz w:val="22"/>
          <w:szCs w:val="22"/>
        </w:rPr>
        <w:t xml:space="preserve"> de développement du Louvre à l’international (Louvre-Lens, Louvre Abou Dabi, </w:t>
      </w:r>
      <w:r w:rsidR="006E143B" w:rsidRPr="00B6578F">
        <w:rPr>
          <w:rFonts w:asciiTheme="minorHAnsi" w:hAnsiTheme="minorHAnsi"/>
          <w:bCs/>
          <w:i/>
          <w:sz w:val="22"/>
          <w:szCs w:val="22"/>
        </w:rPr>
        <w:t xml:space="preserve">MuseumLab </w:t>
      </w:r>
      <w:r w:rsidR="006E143B" w:rsidRPr="00B6578F">
        <w:rPr>
          <w:rFonts w:asciiTheme="minorHAnsi" w:hAnsiTheme="minorHAnsi"/>
          <w:bCs/>
          <w:sz w:val="22"/>
          <w:szCs w:val="22"/>
        </w:rPr>
        <w:t xml:space="preserve">à Tokyo, </w:t>
      </w:r>
      <w:r w:rsidR="006E143B" w:rsidRPr="00B6578F">
        <w:rPr>
          <w:rFonts w:asciiTheme="minorHAnsi" w:hAnsiTheme="minorHAnsi"/>
          <w:bCs/>
          <w:i/>
          <w:sz w:val="22"/>
          <w:szCs w:val="22"/>
        </w:rPr>
        <w:t>High Museum of Art</w:t>
      </w:r>
      <w:r w:rsidR="006E143B" w:rsidRPr="00B6578F">
        <w:rPr>
          <w:rFonts w:asciiTheme="minorHAnsi" w:hAnsiTheme="minorHAnsi"/>
          <w:bCs/>
          <w:sz w:val="22"/>
          <w:szCs w:val="22"/>
        </w:rPr>
        <w:t xml:space="preserve"> d’Atlanta…)</w:t>
      </w:r>
      <w:r w:rsidR="006E143B">
        <w:rPr>
          <w:rFonts w:asciiTheme="minorHAnsi" w:hAnsiTheme="minorHAnsi"/>
          <w:bCs/>
          <w:sz w:val="22"/>
          <w:szCs w:val="22"/>
        </w:rPr>
        <w:t xml:space="preserve"> </w:t>
      </w:r>
      <w:r w:rsidRPr="00B6578F">
        <w:rPr>
          <w:rFonts w:asciiTheme="minorHAnsi" w:hAnsiTheme="minorHAnsi"/>
          <w:bCs/>
          <w:sz w:val="22"/>
          <w:szCs w:val="22"/>
        </w:rPr>
        <w:t>:</w:t>
      </w:r>
    </w:p>
    <w:p w:rsidR="00C37426" w:rsidRPr="00B6578F" w:rsidRDefault="00C37426" w:rsidP="00336728">
      <w:pPr>
        <w:tabs>
          <w:tab w:val="left" w:pos="180"/>
          <w:tab w:val="left" w:pos="1134"/>
        </w:tabs>
        <w:jc w:val="both"/>
        <w:rPr>
          <w:rFonts w:asciiTheme="minorHAnsi" w:hAnsiTheme="minorHAnsi"/>
          <w:bCs/>
          <w:sz w:val="22"/>
          <w:szCs w:val="22"/>
        </w:rPr>
      </w:pPr>
    </w:p>
    <w:p w:rsidR="00EE7956" w:rsidRPr="00B6578F" w:rsidRDefault="00427C2E" w:rsidP="00EE7956">
      <w:pPr>
        <w:pStyle w:val="Paragraphedeliste"/>
        <w:numPr>
          <w:ilvl w:val="0"/>
          <w:numId w:val="5"/>
        </w:numPr>
        <w:tabs>
          <w:tab w:val="left" w:pos="180"/>
          <w:tab w:val="left" w:pos="1134"/>
        </w:tabs>
        <w:jc w:val="both"/>
        <w:rPr>
          <w:rFonts w:asciiTheme="minorHAnsi" w:hAnsiTheme="minorHAnsi"/>
          <w:bCs/>
          <w:sz w:val="22"/>
          <w:szCs w:val="22"/>
        </w:rPr>
      </w:pPr>
      <w:r w:rsidRPr="00B6578F">
        <w:rPr>
          <w:rFonts w:asciiTheme="minorHAnsi" w:hAnsiTheme="minorHAnsi"/>
          <w:b/>
          <w:bCs/>
          <w:sz w:val="22"/>
          <w:szCs w:val="22"/>
        </w:rPr>
        <w:t>Fréquentation et</w:t>
      </w:r>
      <w:r w:rsidR="00EE7956" w:rsidRPr="00B6578F">
        <w:rPr>
          <w:rFonts w:asciiTheme="minorHAnsi" w:hAnsiTheme="minorHAnsi"/>
          <w:b/>
          <w:bCs/>
          <w:sz w:val="22"/>
          <w:szCs w:val="22"/>
        </w:rPr>
        <w:t xml:space="preserve"> profil-sociodémographique</w:t>
      </w:r>
      <w:r w:rsidRPr="00B6578F">
        <w:rPr>
          <w:rFonts w:asciiTheme="minorHAnsi" w:hAnsiTheme="minorHAnsi"/>
          <w:b/>
          <w:bCs/>
          <w:sz w:val="22"/>
          <w:szCs w:val="22"/>
        </w:rPr>
        <w:t xml:space="preserve"> des visiteurs</w:t>
      </w:r>
      <w:r w:rsidR="008E1E25" w:rsidRPr="00B6578F">
        <w:rPr>
          <w:rFonts w:asciiTheme="minorHAnsi" w:hAnsiTheme="minorHAnsi"/>
          <w:bCs/>
          <w:sz w:val="22"/>
          <w:szCs w:val="22"/>
        </w:rPr>
        <w:t> ;</w:t>
      </w:r>
      <w:r w:rsidR="00EE7956" w:rsidRPr="00B6578F">
        <w:rPr>
          <w:rFonts w:asciiTheme="minorHAnsi" w:hAnsiTheme="minorHAnsi"/>
          <w:bCs/>
          <w:sz w:val="22"/>
          <w:szCs w:val="22"/>
        </w:rPr>
        <w:t xml:space="preserve"> </w:t>
      </w:r>
      <w:r w:rsidR="00EE7956" w:rsidRPr="00B6578F">
        <w:rPr>
          <w:rFonts w:asciiTheme="minorHAnsi" w:hAnsiTheme="minorHAnsi"/>
          <w:b/>
          <w:bCs/>
          <w:sz w:val="22"/>
          <w:szCs w:val="22"/>
        </w:rPr>
        <w:t>usages</w:t>
      </w:r>
      <w:r w:rsidR="005C7837" w:rsidRPr="00B6578F">
        <w:rPr>
          <w:rFonts w:asciiTheme="minorHAnsi" w:hAnsiTheme="minorHAnsi"/>
          <w:b/>
          <w:bCs/>
          <w:sz w:val="22"/>
          <w:szCs w:val="22"/>
        </w:rPr>
        <w:t>, bénéfices</w:t>
      </w:r>
      <w:r w:rsidR="00EE7956" w:rsidRPr="00B6578F">
        <w:rPr>
          <w:rFonts w:asciiTheme="minorHAnsi" w:hAnsiTheme="minorHAnsi"/>
          <w:b/>
          <w:bCs/>
          <w:sz w:val="22"/>
          <w:szCs w:val="22"/>
        </w:rPr>
        <w:t xml:space="preserve"> et </w:t>
      </w:r>
      <w:r w:rsidR="00C37426" w:rsidRPr="00B6578F">
        <w:rPr>
          <w:rFonts w:asciiTheme="minorHAnsi" w:hAnsiTheme="minorHAnsi"/>
          <w:b/>
          <w:bCs/>
          <w:sz w:val="22"/>
          <w:szCs w:val="22"/>
        </w:rPr>
        <w:t>expérience de la visite</w:t>
      </w:r>
      <w:r w:rsidR="00EE7956" w:rsidRPr="00B6578F">
        <w:rPr>
          <w:rFonts w:asciiTheme="minorHAnsi" w:hAnsiTheme="minorHAnsi"/>
          <w:bCs/>
          <w:sz w:val="22"/>
          <w:szCs w:val="22"/>
        </w:rPr>
        <w:t xml:space="preserve">, à travers le </w:t>
      </w:r>
      <w:r w:rsidR="00EE7956" w:rsidRPr="00B6578F">
        <w:rPr>
          <w:rFonts w:asciiTheme="minorHAnsi" w:hAnsiTheme="minorHAnsi"/>
          <w:bCs/>
          <w:i/>
          <w:sz w:val="22"/>
          <w:szCs w:val="22"/>
        </w:rPr>
        <w:t>Baromètre des Publics du Louvre</w:t>
      </w:r>
      <w:r w:rsidR="00EE7956" w:rsidRPr="00B6578F">
        <w:rPr>
          <w:rFonts w:asciiTheme="minorHAnsi" w:hAnsiTheme="minorHAnsi"/>
          <w:bCs/>
          <w:sz w:val="22"/>
          <w:szCs w:val="22"/>
        </w:rPr>
        <w:t xml:space="preserve">, enquête </w:t>
      </w:r>
      <w:r w:rsidR="008E1E25" w:rsidRPr="00B6578F">
        <w:rPr>
          <w:rFonts w:asciiTheme="minorHAnsi" w:hAnsiTheme="minorHAnsi"/>
          <w:bCs/>
          <w:sz w:val="22"/>
          <w:szCs w:val="22"/>
        </w:rPr>
        <w:t>quantitative</w:t>
      </w:r>
      <w:r w:rsidR="00EE7956" w:rsidRPr="00B6578F">
        <w:rPr>
          <w:rFonts w:asciiTheme="minorHAnsi" w:hAnsiTheme="minorHAnsi"/>
          <w:bCs/>
          <w:sz w:val="22"/>
          <w:szCs w:val="22"/>
        </w:rPr>
        <w:t xml:space="preserve"> en continu qui </w:t>
      </w:r>
      <w:r w:rsidR="00D45C81">
        <w:rPr>
          <w:rFonts w:asciiTheme="minorHAnsi" w:hAnsiTheme="minorHAnsi"/>
          <w:bCs/>
          <w:sz w:val="22"/>
          <w:szCs w:val="22"/>
        </w:rPr>
        <w:t>permet de collecter</w:t>
      </w:r>
      <w:r w:rsidR="00EE7956" w:rsidRPr="00B6578F">
        <w:rPr>
          <w:rFonts w:asciiTheme="minorHAnsi" w:hAnsiTheme="minorHAnsi"/>
          <w:bCs/>
          <w:sz w:val="22"/>
          <w:szCs w:val="22"/>
        </w:rPr>
        <w:t xml:space="preserve"> environ 10 000 questionnaires par an ;</w:t>
      </w:r>
    </w:p>
    <w:p w:rsidR="00EE7956" w:rsidRPr="00B6578F" w:rsidRDefault="00EE7956" w:rsidP="00EE7956">
      <w:pPr>
        <w:pStyle w:val="Paragraphedeliste"/>
        <w:numPr>
          <w:ilvl w:val="0"/>
          <w:numId w:val="5"/>
        </w:numPr>
        <w:tabs>
          <w:tab w:val="left" w:pos="180"/>
          <w:tab w:val="left" w:pos="1134"/>
        </w:tabs>
        <w:jc w:val="both"/>
        <w:rPr>
          <w:rFonts w:asciiTheme="minorHAnsi" w:hAnsiTheme="minorHAnsi"/>
          <w:bCs/>
          <w:sz w:val="22"/>
          <w:szCs w:val="22"/>
        </w:rPr>
      </w:pPr>
      <w:r w:rsidRPr="00B6578F">
        <w:rPr>
          <w:rFonts w:asciiTheme="minorHAnsi" w:hAnsiTheme="minorHAnsi"/>
          <w:b/>
          <w:bCs/>
          <w:sz w:val="22"/>
          <w:szCs w:val="22"/>
        </w:rPr>
        <w:t xml:space="preserve">Etudes </w:t>
      </w:r>
      <w:r w:rsidRPr="00B6578F">
        <w:rPr>
          <w:rFonts w:asciiTheme="minorHAnsi" w:hAnsiTheme="minorHAnsi"/>
          <w:b/>
          <w:bCs/>
          <w:i/>
          <w:sz w:val="22"/>
          <w:szCs w:val="22"/>
        </w:rPr>
        <w:t>ad hoc</w:t>
      </w:r>
      <w:r w:rsidRPr="00B6578F">
        <w:rPr>
          <w:rFonts w:asciiTheme="minorHAnsi" w:hAnsiTheme="minorHAnsi"/>
          <w:b/>
          <w:bCs/>
          <w:sz w:val="22"/>
          <w:szCs w:val="22"/>
        </w:rPr>
        <w:t>, à visée stratégique</w:t>
      </w:r>
      <w:r w:rsidR="00DF5B3F" w:rsidRPr="00B6578F">
        <w:rPr>
          <w:rFonts w:asciiTheme="minorHAnsi" w:hAnsiTheme="minorHAnsi"/>
          <w:bCs/>
          <w:sz w:val="22"/>
          <w:szCs w:val="22"/>
        </w:rPr>
        <w:t xml:space="preserve"> (</w:t>
      </w:r>
      <w:r w:rsidR="004B3398" w:rsidRPr="00B6578F">
        <w:rPr>
          <w:rFonts w:asciiTheme="minorHAnsi" w:hAnsiTheme="minorHAnsi"/>
          <w:bCs/>
          <w:sz w:val="22"/>
          <w:szCs w:val="22"/>
        </w:rPr>
        <w:t>impact de la politique</w:t>
      </w:r>
      <w:r w:rsidR="00507AD3" w:rsidRPr="00B6578F">
        <w:rPr>
          <w:rFonts w:asciiTheme="minorHAnsi" w:hAnsiTheme="minorHAnsi"/>
          <w:bCs/>
          <w:sz w:val="22"/>
          <w:szCs w:val="22"/>
        </w:rPr>
        <w:t xml:space="preserve"> </w:t>
      </w:r>
      <w:r w:rsidR="00DF5B3F" w:rsidRPr="00B6578F">
        <w:rPr>
          <w:rFonts w:asciiTheme="minorHAnsi" w:hAnsiTheme="minorHAnsi"/>
          <w:bCs/>
          <w:sz w:val="22"/>
          <w:szCs w:val="22"/>
        </w:rPr>
        <w:t>tarifaire</w:t>
      </w:r>
      <w:r w:rsidR="004B3398" w:rsidRPr="00B6578F">
        <w:rPr>
          <w:rFonts w:asciiTheme="minorHAnsi" w:hAnsiTheme="minorHAnsi"/>
          <w:bCs/>
          <w:sz w:val="22"/>
          <w:szCs w:val="22"/>
        </w:rPr>
        <w:t> ; impact économique du Louvre ;</w:t>
      </w:r>
      <w:r w:rsidR="00507AD3" w:rsidRPr="00B6578F">
        <w:rPr>
          <w:rFonts w:asciiTheme="minorHAnsi" w:hAnsiTheme="minorHAnsi"/>
          <w:bCs/>
          <w:sz w:val="22"/>
          <w:szCs w:val="22"/>
        </w:rPr>
        <w:t xml:space="preserve"> prospective de la fréquentation touristique du Louvre à horizon 2020</w:t>
      </w:r>
      <w:r w:rsidR="005973F1">
        <w:rPr>
          <w:rFonts w:asciiTheme="minorHAnsi" w:hAnsiTheme="minorHAnsi"/>
          <w:bCs/>
          <w:sz w:val="22"/>
          <w:szCs w:val="22"/>
        </w:rPr>
        <w:t> ;</w:t>
      </w:r>
      <w:r w:rsidR="00A50829" w:rsidRPr="00B6578F">
        <w:rPr>
          <w:rFonts w:asciiTheme="minorHAnsi" w:hAnsiTheme="minorHAnsi"/>
          <w:bCs/>
          <w:sz w:val="22"/>
          <w:szCs w:val="22"/>
        </w:rPr>
        <w:t xml:space="preserve"> enquête d’attractivité du Louvre-Lens auprès d</w:t>
      </w:r>
      <w:r w:rsidR="009B44B1">
        <w:rPr>
          <w:rFonts w:asciiTheme="minorHAnsi" w:hAnsiTheme="minorHAnsi"/>
          <w:bCs/>
          <w:sz w:val="22"/>
          <w:szCs w:val="22"/>
        </w:rPr>
        <w:t xml:space="preserve">’échantillons représentatifs des </w:t>
      </w:r>
      <w:r w:rsidR="00A50829" w:rsidRPr="00B6578F">
        <w:rPr>
          <w:rFonts w:asciiTheme="minorHAnsi" w:hAnsiTheme="minorHAnsi"/>
          <w:bCs/>
          <w:sz w:val="22"/>
          <w:szCs w:val="22"/>
        </w:rPr>
        <w:t>population</w:t>
      </w:r>
      <w:r w:rsidR="009B44B1">
        <w:rPr>
          <w:rFonts w:asciiTheme="minorHAnsi" w:hAnsiTheme="minorHAnsi"/>
          <w:bCs/>
          <w:sz w:val="22"/>
          <w:szCs w:val="22"/>
        </w:rPr>
        <w:t>s</w:t>
      </w:r>
      <w:r w:rsidR="00A50829" w:rsidRPr="00B6578F">
        <w:rPr>
          <w:rFonts w:asciiTheme="minorHAnsi" w:hAnsiTheme="minorHAnsi"/>
          <w:bCs/>
          <w:sz w:val="22"/>
          <w:szCs w:val="22"/>
        </w:rPr>
        <w:t xml:space="preserve"> belge, française et britannique</w:t>
      </w:r>
      <w:r w:rsidR="00507AD3" w:rsidRPr="00B6578F">
        <w:rPr>
          <w:rFonts w:asciiTheme="minorHAnsi" w:hAnsiTheme="minorHAnsi"/>
          <w:bCs/>
          <w:sz w:val="22"/>
          <w:szCs w:val="22"/>
        </w:rPr>
        <w:t>…) ;</w:t>
      </w:r>
    </w:p>
    <w:p w:rsidR="00EE7956" w:rsidRPr="00B6578F" w:rsidRDefault="00507AD3" w:rsidP="00EE7956">
      <w:pPr>
        <w:pStyle w:val="Paragraphedeliste"/>
        <w:numPr>
          <w:ilvl w:val="0"/>
          <w:numId w:val="5"/>
        </w:numPr>
        <w:tabs>
          <w:tab w:val="left" w:pos="180"/>
          <w:tab w:val="left" w:pos="1134"/>
        </w:tabs>
        <w:jc w:val="both"/>
        <w:rPr>
          <w:rFonts w:asciiTheme="minorHAnsi" w:hAnsiTheme="minorHAnsi"/>
          <w:bCs/>
          <w:sz w:val="22"/>
          <w:szCs w:val="22"/>
        </w:rPr>
      </w:pPr>
      <w:r w:rsidRPr="00B6578F">
        <w:rPr>
          <w:rFonts w:asciiTheme="minorHAnsi" w:hAnsiTheme="minorHAnsi"/>
          <w:b/>
          <w:bCs/>
          <w:sz w:val="22"/>
          <w:szCs w:val="22"/>
        </w:rPr>
        <w:t>Etudes évaluatives de l’offre éducative et culturelle</w:t>
      </w:r>
      <w:r w:rsidRPr="00B6578F">
        <w:rPr>
          <w:rFonts w:asciiTheme="minorHAnsi" w:hAnsiTheme="minorHAnsi"/>
          <w:bCs/>
          <w:sz w:val="22"/>
          <w:szCs w:val="22"/>
        </w:rPr>
        <w:t xml:space="preserve"> </w:t>
      </w:r>
      <w:r w:rsidR="00EE7956" w:rsidRPr="00B6578F">
        <w:rPr>
          <w:rFonts w:asciiTheme="minorHAnsi" w:hAnsiTheme="minorHAnsi"/>
          <w:bCs/>
          <w:sz w:val="22"/>
          <w:szCs w:val="22"/>
        </w:rPr>
        <w:t xml:space="preserve">(expositions </w:t>
      </w:r>
      <w:r w:rsidR="004B3398" w:rsidRPr="00B6578F">
        <w:rPr>
          <w:rFonts w:asciiTheme="minorHAnsi" w:hAnsiTheme="minorHAnsi"/>
          <w:bCs/>
          <w:sz w:val="22"/>
          <w:szCs w:val="22"/>
        </w:rPr>
        <w:t>temporaires ; nocturnes événementielles ;</w:t>
      </w:r>
      <w:r w:rsidR="00EE7956" w:rsidRPr="00B6578F">
        <w:rPr>
          <w:rFonts w:asciiTheme="minorHAnsi" w:hAnsiTheme="minorHAnsi"/>
          <w:bCs/>
          <w:sz w:val="22"/>
          <w:szCs w:val="22"/>
        </w:rPr>
        <w:t xml:space="preserve"> </w:t>
      </w:r>
      <w:r w:rsidRPr="00B6578F">
        <w:rPr>
          <w:rFonts w:asciiTheme="minorHAnsi" w:hAnsiTheme="minorHAnsi"/>
          <w:bCs/>
          <w:i/>
          <w:sz w:val="22"/>
          <w:szCs w:val="22"/>
        </w:rPr>
        <w:t>MuseumLab</w:t>
      </w:r>
      <w:r w:rsidRPr="00B6578F">
        <w:rPr>
          <w:rFonts w:asciiTheme="minorHAnsi" w:hAnsiTheme="minorHAnsi"/>
          <w:bCs/>
          <w:sz w:val="22"/>
          <w:szCs w:val="22"/>
        </w:rPr>
        <w:t xml:space="preserve"> de Tokyo…) ;</w:t>
      </w:r>
    </w:p>
    <w:p w:rsidR="0041725E" w:rsidRPr="00B6578F" w:rsidRDefault="0041725E" w:rsidP="00EE7956">
      <w:pPr>
        <w:pStyle w:val="Paragraphedeliste"/>
        <w:numPr>
          <w:ilvl w:val="0"/>
          <w:numId w:val="5"/>
        </w:numPr>
        <w:tabs>
          <w:tab w:val="left" w:pos="180"/>
          <w:tab w:val="left" w:pos="1134"/>
        </w:tabs>
        <w:jc w:val="both"/>
        <w:rPr>
          <w:rFonts w:asciiTheme="minorHAnsi" w:hAnsiTheme="minorHAnsi"/>
          <w:bCs/>
          <w:sz w:val="22"/>
          <w:szCs w:val="22"/>
        </w:rPr>
      </w:pPr>
      <w:r w:rsidRPr="00B6578F">
        <w:rPr>
          <w:rFonts w:asciiTheme="minorHAnsi" w:hAnsiTheme="minorHAnsi"/>
          <w:b/>
          <w:bCs/>
          <w:sz w:val="22"/>
          <w:szCs w:val="22"/>
        </w:rPr>
        <w:t>Etudes sociologiques</w:t>
      </w:r>
      <w:r w:rsidR="00C37426" w:rsidRPr="00B6578F">
        <w:rPr>
          <w:rFonts w:asciiTheme="minorHAnsi" w:hAnsiTheme="minorHAnsi"/>
          <w:b/>
          <w:bCs/>
          <w:sz w:val="22"/>
          <w:szCs w:val="22"/>
        </w:rPr>
        <w:t xml:space="preserve"> </w:t>
      </w:r>
      <w:r w:rsidR="0057084E">
        <w:rPr>
          <w:rFonts w:asciiTheme="minorHAnsi" w:hAnsiTheme="minorHAnsi"/>
          <w:b/>
          <w:bCs/>
          <w:sz w:val="22"/>
          <w:szCs w:val="22"/>
        </w:rPr>
        <w:t>et</w:t>
      </w:r>
      <w:r w:rsidR="00C37426" w:rsidRPr="00B6578F">
        <w:rPr>
          <w:rFonts w:asciiTheme="minorHAnsi" w:hAnsiTheme="minorHAnsi"/>
          <w:b/>
          <w:bCs/>
          <w:sz w:val="22"/>
          <w:szCs w:val="22"/>
        </w:rPr>
        <w:t xml:space="preserve"> ethnographiques</w:t>
      </w:r>
      <w:r w:rsidR="008E1E25" w:rsidRPr="00B6578F">
        <w:rPr>
          <w:rFonts w:asciiTheme="minorHAnsi" w:hAnsiTheme="minorHAnsi"/>
          <w:bCs/>
          <w:sz w:val="22"/>
          <w:szCs w:val="22"/>
        </w:rPr>
        <w:t xml:space="preserve"> (réception de l’art contemporain</w:t>
      </w:r>
      <w:r w:rsidR="00163E8D" w:rsidRPr="00B6578F">
        <w:rPr>
          <w:rFonts w:asciiTheme="minorHAnsi" w:hAnsiTheme="minorHAnsi"/>
          <w:bCs/>
          <w:sz w:val="22"/>
          <w:szCs w:val="22"/>
        </w:rPr>
        <w:t xml:space="preserve"> au Louvre</w:t>
      </w:r>
      <w:r w:rsidR="008E1E25" w:rsidRPr="00B6578F">
        <w:rPr>
          <w:rFonts w:asciiTheme="minorHAnsi" w:hAnsiTheme="minorHAnsi"/>
          <w:bCs/>
          <w:sz w:val="22"/>
          <w:szCs w:val="22"/>
        </w:rPr>
        <w:t>, image et représentations du Louvre-Lens</w:t>
      </w:r>
      <w:r w:rsidR="00344652" w:rsidRPr="00B6578F">
        <w:rPr>
          <w:rFonts w:asciiTheme="minorHAnsi" w:hAnsiTheme="minorHAnsi"/>
          <w:bCs/>
          <w:sz w:val="22"/>
          <w:szCs w:val="22"/>
        </w:rPr>
        <w:t xml:space="preserve"> et de ses œuvres </w:t>
      </w:r>
      <w:r w:rsidR="008E1E25" w:rsidRPr="00B6578F">
        <w:rPr>
          <w:rFonts w:asciiTheme="minorHAnsi" w:hAnsiTheme="minorHAnsi"/>
          <w:bCs/>
          <w:sz w:val="22"/>
          <w:szCs w:val="22"/>
        </w:rPr>
        <w:t>…) ;</w:t>
      </w:r>
    </w:p>
    <w:p w:rsidR="000264C9" w:rsidRPr="00B6578F" w:rsidRDefault="000264C9" w:rsidP="00EE7956">
      <w:pPr>
        <w:pStyle w:val="Paragraphedeliste"/>
        <w:numPr>
          <w:ilvl w:val="0"/>
          <w:numId w:val="5"/>
        </w:numPr>
        <w:tabs>
          <w:tab w:val="left" w:pos="180"/>
          <w:tab w:val="left" w:pos="1134"/>
        </w:tabs>
        <w:jc w:val="both"/>
        <w:rPr>
          <w:rFonts w:asciiTheme="minorHAnsi" w:hAnsiTheme="minorHAnsi"/>
          <w:bCs/>
          <w:sz w:val="22"/>
          <w:szCs w:val="22"/>
        </w:rPr>
      </w:pPr>
      <w:r w:rsidRPr="00B6578F">
        <w:rPr>
          <w:rFonts w:asciiTheme="minorHAnsi" w:hAnsiTheme="minorHAnsi"/>
          <w:b/>
          <w:bCs/>
          <w:sz w:val="22"/>
          <w:szCs w:val="22"/>
        </w:rPr>
        <w:t>Etudes à visée marketing</w:t>
      </w:r>
      <w:r w:rsidRPr="00B6578F">
        <w:rPr>
          <w:rFonts w:asciiTheme="minorHAnsi" w:hAnsiTheme="minorHAnsi"/>
          <w:bCs/>
          <w:sz w:val="22"/>
          <w:szCs w:val="22"/>
        </w:rPr>
        <w:t xml:space="preserve"> (Gestion de la relation client, pré-tests de campagnes…)</w:t>
      </w:r>
      <w:r w:rsidR="00907C06">
        <w:rPr>
          <w:rFonts w:asciiTheme="minorHAnsi" w:hAnsiTheme="minorHAnsi"/>
          <w:bCs/>
          <w:sz w:val="22"/>
          <w:szCs w:val="22"/>
        </w:rPr>
        <w:t>.</w:t>
      </w:r>
    </w:p>
    <w:p w:rsidR="00465906" w:rsidRPr="00B6578F" w:rsidRDefault="00465906" w:rsidP="00336728">
      <w:pPr>
        <w:tabs>
          <w:tab w:val="left" w:pos="180"/>
          <w:tab w:val="left" w:pos="1134"/>
        </w:tabs>
        <w:jc w:val="both"/>
        <w:rPr>
          <w:rFonts w:asciiTheme="minorHAnsi" w:hAnsiTheme="minorHAnsi"/>
          <w:bCs/>
          <w:sz w:val="22"/>
          <w:szCs w:val="22"/>
        </w:rPr>
      </w:pPr>
    </w:p>
    <w:p w:rsidR="00973865" w:rsidRPr="00B6578F" w:rsidRDefault="00A22173" w:rsidP="000762AF">
      <w:pPr>
        <w:tabs>
          <w:tab w:val="left" w:pos="180"/>
          <w:tab w:val="left" w:pos="1134"/>
        </w:tabs>
        <w:jc w:val="both"/>
        <w:rPr>
          <w:rFonts w:asciiTheme="minorHAnsi" w:hAnsiTheme="minorHAnsi"/>
          <w:iCs/>
          <w:sz w:val="22"/>
          <w:szCs w:val="22"/>
        </w:rPr>
      </w:pPr>
      <w:r>
        <w:rPr>
          <w:rFonts w:asciiTheme="minorHAnsi" w:hAnsiTheme="minorHAnsi"/>
          <w:bCs/>
          <w:sz w:val="22"/>
          <w:szCs w:val="22"/>
        </w:rPr>
        <w:t xml:space="preserve">Le deuxième </w:t>
      </w:r>
      <w:r w:rsidR="0076320A">
        <w:rPr>
          <w:rFonts w:asciiTheme="minorHAnsi" w:hAnsiTheme="minorHAnsi"/>
          <w:bCs/>
          <w:sz w:val="22"/>
          <w:szCs w:val="22"/>
        </w:rPr>
        <w:t>domaine</w:t>
      </w:r>
      <w:r>
        <w:rPr>
          <w:rFonts w:asciiTheme="minorHAnsi" w:hAnsiTheme="minorHAnsi"/>
          <w:bCs/>
          <w:sz w:val="22"/>
          <w:szCs w:val="22"/>
        </w:rPr>
        <w:t xml:space="preserve"> d’activités du service études et recherche porte sur un</w:t>
      </w:r>
      <w:r w:rsidR="000264C9" w:rsidRPr="00B6578F">
        <w:rPr>
          <w:rFonts w:asciiTheme="minorHAnsi" w:hAnsiTheme="minorHAnsi"/>
          <w:bCs/>
          <w:sz w:val="22"/>
          <w:szCs w:val="22"/>
        </w:rPr>
        <w:t xml:space="preserve"> </w:t>
      </w:r>
      <w:r>
        <w:rPr>
          <w:rFonts w:asciiTheme="minorHAnsi" w:hAnsiTheme="minorHAnsi"/>
          <w:bCs/>
          <w:sz w:val="22"/>
          <w:szCs w:val="22"/>
        </w:rPr>
        <w:t>programme</w:t>
      </w:r>
      <w:r w:rsidR="000264C9" w:rsidRPr="00B6578F">
        <w:rPr>
          <w:rFonts w:asciiTheme="minorHAnsi" w:hAnsiTheme="minorHAnsi"/>
          <w:bCs/>
          <w:sz w:val="22"/>
          <w:szCs w:val="22"/>
        </w:rPr>
        <w:t xml:space="preserve"> de recherche</w:t>
      </w:r>
      <w:r w:rsidR="00E57D57" w:rsidRPr="00B6578F">
        <w:rPr>
          <w:rFonts w:asciiTheme="minorHAnsi" w:hAnsiTheme="minorHAnsi"/>
          <w:bCs/>
          <w:sz w:val="22"/>
          <w:szCs w:val="22"/>
        </w:rPr>
        <w:t xml:space="preserve"> appliquée</w:t>
      </w:r>
      <w:r w:rsidR="000264C9" w:rsidRPr="00B6578F">
        <w:rPr>
          <w:rFonts w:asciiTheme="minorHAnsi" w:hAnsiTheme="minorHAnsi"/>
          <w:bCs/>
          <w:sz w:val="22"/>
          <w:szCs w:val="22"/>
        </w:rPr>
        <w:t>, inscrit</w:t>
      </w:r>
      <w:r w:rsidR="00EB029B" w:rsidRPr="00B6578F">
        <w:rPr>
          <w:rFonts w:asciiTheme="minorHAnsi" w:hAnsiTheme="minorHAnsi"/>
          <w:bCs/>
          <w:sz w:val="22"/>
          <w:szCs w:val="22"/>
        </w:rPr>
        <w:t xml:space="preserve"> au R</w:t>
      </w:r>
      <w:r w:rsidR="000264C9" w:rsidRPr="00B6578F">
        <w:rPr>
          <w:rFonts w:asciiTheme="minorHAnsi" w:hAnsiTheme="minorHAnsi"/>
          <w:bCs/>
          <w:sz w:val="22"/>
          <w:szCs w:val="22"/>
        </w:rPr>
        <w:t>apport de performance 2009-2011 du musée du Louvre</w:t>
      </w:r>
      <w:r>
        <w:rPr>
          <w:rFonts w:asciiTheme="minorHAnsi" w:hAnsiTheme="minorHAnsi"/>
          <w:bCs/>
          <w:sz w:val="22"/>
          <w:szCs w:val="22"/>
        </w:rPr>
        <w:t>. Il</w:t>
      </w:r>
      <w:r w:rsidR="00336728" w:rsidRPr="00B6578F">
        <w:rPr>
          <w:rFonts w:asciiTheme="minorHAnsi" w:hAnsiTheme="minorHAnsi"/>
          <w:bCs/>
          <w:sz w:val="22"/>
          <w:szCs w:val="22"/>
        </w:rPr>
        <w:t xml:space="preserve"> </w:t>
      </w:r>
      <w:r w:rsidR="000264C9" w:rsidRPr="00B6578F">
        <w:rPr>
          <w:rFonts w:asciiTheme="minorHAnsi" w:hAnsiTheme="minorHAnsi"/>
          <w:bCs/>
          <w:sz w:val="22"/>
          <w:szCs w:val="22"/>
        </w:rPr>
        <w:t>vise à</w:t>
      </w:r>
      <w:r w:rsidR="00336728" w:rsidRPr="00B6578F">
        <w:rPr>
          <w:rFonts w:asciiTheme="minorHAnsi" w:hAnsiTheme="minorHAnsi"/>
          <w:sz w:val="22"/>
          <w:szCs w:val="22"/>
        </w:rPr>
        <w:t xml:space="preserve"> faire connaitre et </w:t>
      </w:r>
      <w:r w:rsidR="000264C9" w:rsidRPr="00B6578F">
        <w:rPr>
          <w:rFonts w:asciiTheme="minorHAnsi" w:hAnsiTheme="minorHAnsi"/>
          <w:sz w:val="22"/>
          <w:szCs w:val="22"/>
        </w:rPr>
        <w:t xml:space="preserve">à </w:t>
      </w:r>
      <w:r w:rsidR="00336728" w:rsidRPr="00B6578F">
        <w:rPr>
          <w:rFonts w:asciiTheme="minorHAnsi" w:hAnsiTheme="minorHAnsi"/>
          <w:sz w:val="22"/>
          <w:szCs w:val="22"/>
        </w:rPr>
        <w:t>diffuser les connaissances</w:t>
      </w:r>
      <w:r w:rsidR="00696359" w:rsidRPr="00B6578F">
        <w:rPr>
          <w:rFonts w:asciiTheme="minorHAnsi" w:hAnsiTheme="minorHAnsi"/>
          <w:sz w:val="22"/>
          <w:szCs w:val="22"/>
        </w:rPr>
        <w:t xml:space="preserve"> acquises </w:t>
      </w:r>
      <w:r w:rsidR="00DC380C" w:rsidRPr="00B6578F">
        <w:rPr>
          <w:rFonts w:asciiTheme="minorHAnsi" w:hAnsiTheme="minorHAnsi"/>
          <w:sz w:val="22"/>
          <w:szCs w:val="22"/>
        </w:rPr>
        <w:t xml:space="preserve">sur les publics, les </w:t>
      </w:r>
      <w:r w:rsidR="00696359" w:rsidRPr="00B6578F">
        <w:rPr>
          <w:rFonts w:asciiTheme="minorHAnsi" w:hAnsiTheme="minorHAnsi"/>
          <w:sz w:val="22"/>
          <w:szCs w:val="22"/>
        </w:rPr>
        <w:t xml:space="preserve">usages </w:t>
      </w:r>
      <w:r w:rsidR="00AE4BAA" w:rsidRPr="00B6578F">
        <w:rPr>
          <w:rFonts w:asciiTheme="minorHAnsi" w:hAnsiTheme="minorHAnsi"/>
          <w:sz w:val="22"/>
          <w:szCs w:val="22"/>
        </w:rPr>
        <w:t xml:space="preserve">et </w:t>
      </w:r>
      <w:r w:rsidR="00DC380C" w:rsidRPr="00B6578F">
        <w:rPr>
          <w:rFonts w:asciiTheme="minorHAnsi" w:hAnsiTheme="minorHAnsi"/>
          <w:sz w:val="22"/>
          <w:szCs w:val="22"/>
        </w:rPr>
        <w:t>les</w:t>
      </w:r>
      <w:r w:rsidR="00AE4BAA" w:rsidRPr="00B6578F">
        <w:rPr>
          <w:rFonts w:asciiTheme="minorHAnsi" w:hAnsiTheme="minorHAnsi"/>
          <w:sz w:val="22"/>
          <w:szCs w:val="22"/>
        </w:rPr>
        <w:t xml:space="preserve"> politiques </w:t>
      </w:r>
      <w:r w:rsidR="00DC380C" w:rsidRPr="00B6578F">
        <w:rPr>
          <w:rFonts w:asciiTheme="minorHAnsi" w:hAnsiTheme="minorHAnsi"/>
          <w:sz w:val="22"/>
          <w:szCs w:val="22"/>
        </w:rPr>
        <w:t>mises en œuvre</w:t>
      </w:r>
      <w:r w:rsidR="008758B8" w:rsidRPr="00B6578F">
        <w:rPr>
          <w:rFonts w:asciiTheme="minorHAnsi" w:hAnsiTheme="minorHAnsi"/>
          <w:sz w:val="22"/>
          <w:szCs w:val="22"/>
        </w:rPr>
        <w:t xml:space="preserve"> à leur </w:t>
      </w:r>
      <w:r w:rsidR="0044421A" w:rsidRPr="00B6578F">
        <w:rPr>
          <w:rFonts w:asciiTheme="minorHAnsi" w:hAnsiTheme="minorHAnsi"/>
          <w:sz w:val="22"/>
          <w:szCs w:val="22"/>
        </w:rPr>
        <w:t>intention</w:t>
      </w:r>
      <w:r w:rsidR="000264C9" w:rsidRPr="00B6578F">
        <w:rPr>
          <w:rFonts w:asciiTheme="minorHAnsi" w:hAnsiTheme="minorHAnsi"/>
          <w:sz w:val="22"/>
          <w:szCs w:val="22"/>
        </w:rPr>
        <w:t xml:space="preserve">. </w:t>
      </w:r>
      <w:r w:rsidR="000762AF" w:rsidRPr="00B6578F">
        <w:rPr>
          <w:rFonts w:asciiTheme="minorHAnsi" w:hAnsiTheme="minorHAnsi"/>
          <w:sz w:val="22"/>
          <w:szCs w:val="22"/>
        </w:rPr>
        <w:t>Ce programme vient en soutien de thèmes dont le caractère novateur</w:t>
      </w:r>
      <w:r w:rsidR="004518EF" w:rsidRPr="00B6578F">
        <w:rPr>
          <w:rFonts w:asciiTheme="minorHAnsi" w:hAnsiTheme="minorHAnsi"/>
          <w:sz w:val="22"/>
          <w:szCs w:val="22"/>
        </w:rPr>
        <w:t xml:space="preserve"> ou stratégique</w:t>
      </w:r>
      <w:r w:rsidR="000762AF" w:rsidRPr="00B6578F">
        <w:rPr>
          <w:rFonts w:asciiTheme="minorHAnsi" w:hAnsiTheme="minorHAnsi"/>
          <w:sz w:val="22"/>
          <w:szCs w:val="22"/>
        </w:rPr>
        <w:t xml:space="preserve"> et la dimension d’expérimentation justifient d’en accompagner</w:t>
      </w:r>
      <w:r w:rsidR="00AE4BAA" w:rsidRPr="00B6578F">
        <w:rPr>
          <w:rFonts w:asciiTheme="minorHAnsi" w:hAnsiTheme="minorHAnsi"/>
          <w:sz w:val="22"/>
          <w:szCs w:val="22"/>
        </w:rPr>
        <w:t xml:space="preserve"> </w:t>
      </w:r>
      <w:r w:rsidR="000762AF" w:rsidRPr="00B6578F">
        <w:rPr>
          <w:rFonts w:asciiTheme="minorHAnsi" w:hAnsiTheme="minorHAnsi"/>
          <w:sz w:val="22"/>
          <w:szCs w:val="22"/>
        </w:rPr>
        <w:t xml:space="preserve">l’analyse et le développement. </w:t>
      </w:r>
      <w:r w:rsidR="00AE4BAA" w:rsidRPr="00B6578F">
        <w:rPr>
          <w:rFonts w:asciiTheme="minorHAnsi" w:hAnsiTheme="minorHAnsi"/>
          <w:iCs/>
          <w:sz w:val="22"/>
          <w:szCs w:val="22"/>
        </w:rPr>
        <w:t xml:space="preserve">Les thèmes </w:t>
      </w:r>
      <w:r w:rsidR="008758B8" w:rsidRPr="00B6578F">
        <w:rPr>
          <w:rFonts w:asciiTheme="minorHAnsi" w:hAnsiTheme="minorHAnsi"/>
          <w:iCs/>
          <w:sz w:val="22"/>
          <w:szCs w:val="22"/>
        </w:rPr>
        <w:t xml:space="preserve">retenus </w:t>
      </w:r>
      <w:r w:rsidR="00336728" w:rsidRPr="00B6578F">
        <w:rPr>
          <w:rFonts w:asciiTheme="minorHAnsi" w:hAnsiTheme="minorHAnsi"/>
          <w:iCs/>
          <w:sz w:val="22"/>
          <w:szCs w:val="22"/>
        </w:rPr>
        <w:t>relèvent de l’analyse et de la</w:t>
      </w:r>
      <w:r w:rsidR="00AE4BAA" w:rsidRPr="00B6578F">
        <w:rPr>
          <w:rFonts w:asciiTheme="minorHAnsi" w:hAnsiTheme="minorHAnsi"/>
          <w:iCs/>
          <w:sz w:val="22"/>
          <w:szCs w:val="22"/>
        </w:rPr>
        <w:t xml:space="preserve"> prospective sur</w:t>
      </w:r>
      <w:r w:rsidR="00F22C19" w:rsidRPr="00B6578F">
        <w:rPr>
          <w:rFonts w:asciiTheme="minorHAnsi" w:hAnsiTheme="minorHAnsi"/>
          <w:iCs/>
          <w:sz w:val="22"/>
          <w:szCs w:val="22"/>
        </w:rPr>
        <w:t xml:space="preserve"> les usages et les publics ; </w:t>
      </w:r>
      <w:r w:rsidR="00AE4BAA" w:rsidRPr="00B6578F">
        <w:rPr>
          <w:rFonts w:asciiTheme="minorHAnsi" w:hAnsiTheme="minorHAnsi"/>
          <w:iCs/>
          <w:sz w:val="22"/>
          <w:szCs w:val="22"/>
        </w:rPr>
        <w:t>des apprentissages et bénéfices retirés de l’expérience muséale</w:t>
      </w:r>
      <w:r w:rsidR="001609D3">
        <w:rPr>
          <w:rFonts w:asciiTheme="minorHAnsi" w:hAnsiTheme="minorHAnsi"/>
          <w:iCs/>
          <w:sz w:val="22"/>
          <w:szCs w:val="22"/>
        </w:rPr>
        <w:t> et notamment</w:t>
      </w:r>
      <w:r w:rsidR="00F22C19" w:rsidRPr="00B6578F">
        <w:rPr>
          <w:rFonts w:asciiTheme="minorHAnsi" w:hAnsiTheme="minorHAnsi"/>
          <w:iCs/>
          <w:sz w:val="22"/>
          <w:szCs w:val="22"/>
        </w:rPr>
        <w:t xml:space="preserve"> </w:t>
      </w:r>
      <w:r w:rsidR="00B9399D" w:rsidRPr="00B6578F">
        <w:rPr>
          <w:rFonts w:asciiTheme="minorHAnsi" w:hAnsiTheme="minorHAnsi"/>
          <w:iCs/>
          <w:sz w:val="22"/>
          <w:szCs w:val="22"/>
        </w:rPr>
        <w:t>de la place des technologies de l’inf</w:t>
      </w:r>
      <w:r w:rsidR="001609D3">
        <w:rPr>
          <w:rFonts w:asciiTheme="minorHAnsi" w:hAnsiTheme="minorHAnsi"/>
          <w:iCs/>
          <w:sz w:val="22"/>
          <w:szCs w:val="22"/>
        </w:rPr>
        <w:t>ormation et de la communication ;</w:t>
      </w:r>
      <w:r w:rsidR="00B9399D" w:rsidRPr="00B6578F">
        <w:rPr>
          <w:rFonts w:asciiTheme="minorHAnsi" w:hAnsiTheme="minorHAnsi"/>
          <w:iCs/>
          <w:sz w:val="22"/>
          <w:szCs w:val="22"/>
        </w:rPr>
        <w:t xml:space="preserve"> </w:t>
      </w:r>
      <w:r w:rsidR="00F22C19" w:rsidRPr="00B6578F">
        <w:rPr>
          <w:rFonts w:asciiTheme="minorHAnsi" w:hAnsiTheme="minorHAnsi"/>
          <w:iCs/>
          <w:sz w:val="22"/>
          <w:szCs w:val="22"/>
        </w:rPr>
        <w:t>enfin, de la finalité du musée comme espace de pro</w:t>
      </w:r>
      <w:r w:rsidR="008758B8" w:rsidRPr="00B6578F">
        <w:rPr>
          <w:rFonts w:asciiTheme="minorHAnsi" w:hAnsiTheme="minorHAnsi"/>
          <w:iCs/>
          <w:sz w:val="22"/>
          <w:szCs w:val="22"/>
        </w:rPr>
        <w:t>duction de biens et de valeurs</w:t>
      </w:r>
      <w:r w:rsidR="00AE4BAA" w:rsidRPr="00B6578F">
        <w:rPr>
          <w:rFonts w:asciiTheme="minorHAnsi" w:hAnsiTheme="minorHAnsi"/>
          <w:iCs/>
          <w:sz w:val="22"/>
          <w:szCs w:val="22"/>
        </w:rPr>
        <w:t>.</w:t>
      </w:r>
      <w:r w:rsidR="008A74AA" w:rsidRPr="00B6578F">
        <w:rPr>
          <w:rFonts w:asciiTheme="minorHAnsi" w:hAnsiTheme="minorHAnsi"/>
          <w:iCs/>
          <w:sz w:val="22"/>
          <w:szCs w:val="22"/>
        </w:rPr>
        <w:t xml:space="preserve"> </w:t>
      </w:r>
      <w:r w:rsidR="004B7FC6" w:rsidRPr="00B6578F">
        <w:rPr>
          <w:rFonts w:asciiTheme="minorHAnsi" w:hAnsiTheme="minorHAnsi"/>
          <w:iCs/>
          <w:sz w:val="22"/>
          <w:szCs w:val="22"/>
        </w:rPr>
        <w:t>Ces t</w:t>
      </w:r>
      <w:r w:rsidR="00C76BB2" w:rsidRPr="00B6578F">
        <w:rPr>
          <w:rFonts w:asciiTheme="minorHAnsi" w:hAnsiTheme="minorHAnsi"/>
          <w:iCs/>
          <w:sz w:val="22"/>
          <w:szCs w:val="22"/>
        </w:rPr>
        <w:t xml:space="preserve">rois </w:t>
      </w:r>
      <w:r w:rsidR="00D03826" w:rsidRPr="00B6578F">
        <w:rPr>
          <w:rFonts w:asciiTheme="minorHAnsi" w:hAnsiTheme="minorHAnsi"/>
          <w:iCs/>
          <w:sz w:val="22"/>
          <w:szCs w:val="22"/>
        </w:rPr>
        <w:t xml:space="preserve">volets </w:t>
      </w:r>
      <w:r w:rsidR="000762AF" w:rsidRPr="00B6578F">
        <w:rPr>
          <w:rFonts w:asciiTheme="minorHAnsi" w:hAnsiTheme="minorHAnsi"/>
          <w:iCs/>
          <w:sz w:val="22"/>
          <w:szCs w:val="22"/>
        </w:rPr>
        <w:t>font l’objet de partenariats de</w:t>
      </w:r>
      <w:r w:rsidR="00D03826" w:rsidRPr="00B6578F">
        <w:rPr>
          <w:rFonts w:asciiTheme="minorHAnsi" w:hAnsiTheme="minorHAnsi"/>
          <w:iCs/>
          <w:sz w:val="22"/>
          <w:szCs w:val="22"/>
        </w:rPr>
        <w:t xml:space="preserve"> recherche</w:t>
      </w:r>
      <w:r w:rsidR="00C76BB2" w:rsidRPr="00B6578F">
        <w:rPr>
          <w:rFonts w:asciiTheme="minorHAnsi" w:hAnsiTheme="minorHAnsi"/>
          <w:iCs/>
          <w:sz w:val="22"/>
          <w:szCs w:val="22"/>
        </w:rPr>
        <w:t xml:space="preserve"> </w:t>
      </w:r>
      <w:r w:rsidR="00973865" w:rsidRPr="00B6578F">
        <w:rPr>
          <w:rFonts w:asciiTheme="minorHAnsi" w:hAnsiTheme="minorHAnsi"/>
          <w:iCs/>
          <w:sz w:val="22"/>
          <w:szCs w:val="22"/>
        </w:rPr>
        <w:t>:</w:t>
      </w:r>
    </w:p>
    <w:p w:rsidR="00E57D57" w:rsidRPr="00B6578F" w:rsidRDefault="00E57D57" w:rsidP="000762AF">
      <w:pPr>
        <w:tabs>
          <w:tab w:val="left" w:pos="180"/>
          <w:tab w:val="left" w:pos="1134"/>
        </w:tabs>
        <w:jc w:val="both"/>
        <w:rPr>
          <w:rFonts w:asciiTheme="minorHAnsi" w:hAnsiTheme="minorHAnsi"/>
          <w:sz w:val="22"/>
          <w:szCs w:val="22"/>
        </w:rPr>
      </w:pPr>
    </w:p>
    <w:p w:rsidR="00973865" w:rsidRPr="00B6578F" w:rsidRDefault="00973865" w:rsidP="00973865">
      <w:pPr>
        <w:pStyle w:val="Paragraphedeliste"/>
        <w:numPr>
          <w:ilvl w:val="0"/>
          <w:numId w:val="4"/>
        </w:numPr>
        <w:jc w:val="both"/>
        <w:rPr>
          <w:rFonts w:asciiTheme="minorHAnsi" w:hAnsiTheme="minorHAnsi"/>
          <w:sz w:val="22"/>
          <w:szCs w:val="22"/>
        </w:rPr>
      </w:pPr>
      <w:r w:rsidRPr="00B6578F">
        <w:rPr>
          <w:rFonts w:asciiTheme="minorHAnsi" w:hAnsiTheme="minorHAnsi"/>
          <w:sz w:val="22"/>
          <w:szCs w:val="22"/>
        </w:rPr>
        <w:t>Recherche sur les formes de la médiation et les aides à la visite</w:t>
      </w:r>
      <w:r w:rsidR="00E57D57" w:rsidRPr="00B6578F">
        <w:rPr>
          <w:rFonts w:asciiTheme="minorHAnsi" w:hAnsiTheme="minorHAnsi"/>
          <w:sz w:val="22"/>
          <w:szCs w:val="22"/>
        </w:rPr>
        <w:t xml:space="preserve"> (en partenariat avec le Laboratoire </w:t>
      </w:r>
      <w:r w:rsidR="00E57D57" w:rsidRPr="00B37689">
        <w:rPr>
          <w:rFonts w:asciiTheme="minorHAnsi" w:hAnsiTheme="minorHAnsi"/>
          <w:i/>
          <w:sz w:val="22"/>
          <w:szCs w:val="22"/>
        </w:rPr>
        <w:t>Culture et Communicat</w:t>
      </w:r>
      <w:r w:rsidR="00753974" w:rsidRPr="00B37689">
        <w:rPr>
          <w:rFonts w:asciiTheme="minorHAnsi" w:hAnsiTheme="minorHAnsi"/>
          <w:i/>
          <w:sz w:val="22"/>
          <w:szCs w:val="22"/>
        </w:rPr>
        <w:t>ion</w:t>
      </w:r>
      <w:r w:rsidR="00753974">
        <w:rPr>
          <w:rFonts w:asciiTheme="minorHAnsi" w:hAnsiTheme="minorHAnsi"/>
          <w:sz w:val="22"/>
          <w:szCs w:val="22"/>
        </w:rPr>
        <w:t xml:space="preserve"> de l’Université d’Avignon e</w:t>
      </w:r>
      <w:r w:rsidR="00E57D57" w:rsidRPr="00B6578F">
        <w:rPr>
          <w:rFonts w:asciiTheme="minorHAnsi" w:hAnsiTheme="minorHAnsi"/>
          <w:sz w:val="22"/>
          <w:szCs w:val="22"/>
        </w:rPr>
        <w:t>t des Pays de Vaucluse)</w:t>
      </w:r>
      <w:r w:rsidRPr="00B6578F">
        <w:rPr>
          <w:rFonts w:asciiTheme="minorHAnsi" w:hAnsiTheme="minorHAnsi"/>
          <w:sz w:val="22"/>
          <w:szCs w:val="22"/>
        </w:rPr>
        <w:t> ;</w:t>
      </w:r>
    </w:p>
    <w:p w:rsidR="00973865" w:rsidRPr="00B6578F" w:rsidRDefault="00973865" w:rsidP="00973865">
      <w:pPr>
        <w:pStyle w:val="Paragraphedeliste"/>
        <w:numPr>
          <w:ilvl w:val="0"/>
          <w:numId w:val="4"/>
        </w:numPr>
        <w:jc w:val="both"/>
        <w:rPr>
          <w:rFonts w:asciiTheme="minorHAnsi" w:hAnsiTheme="minorHAnsi"/>
          <w:sz w:val="22"/>
          <w:szCs w:val="22"/>
        </w:rPr>
      </w:pPr>
      <w:r w:rsidRPr="00B6578F">
        <w:rPr>
          <w:rFonts w:asciiTheme="minorHAnsi" w:hAnsiTheme="minorHAnsi"/>
          <w:sz w:val="22"/>
          <w:szCs w:val="22"/>
        </w:rPr>
        <w:t>Recherche sur les publics « réels » et « virtuels » </w:t>
      </w:r>
      <w:r w:rsidR="00E57D57" w:rsidRPr="00B6578F">
        <w:rPr>
          <w:rFonts w:asciiTheme="minorHAnsi" w:hAnsiTheme="minorHAnsi"/>
          <w:sz w:val="22"/>
          <w:szCs w:val="22"/>
        </w:rPr>
        <w:t xml:space="preserve">(en partenariat avec HEC Paris) </w:t>
      </w:r>
      <w:r w:rsidRPr="00B6578F">
        <w:rPr>
          <w:rFonts w:asciiTheme="minorHAnsi" w:hAnsiTheme="minorHAnsi"/>
          <w:sz w:val="22"/>
          <w:szCs w:val="22"/>
        </w:rPr>
        <w:t>;</w:t>
      </w:r>
    </w:p>
    <w:p w:rsidR="00973865" w:rsidRPr="00B6578F" w:rsidRDefault="00973865" w:rsidP="00973865">
      <w:pPr>
        <w:pStyle w:val="Paragraphedeliste"/>
        <w:numPr>
          <w:ilvl w:val="0"/>
          <w:numId w:val="4"/>
        </w:numPr>
        <w:jc w:val="both"/>
        <w:rPr>
          <w:rFonts w:asciiTheme="minorHAnsi" w:hAnsiTheme="minorHAnsi"/>
          <w:sz w:val="22"/>
          <w:szCs w:val="22"/>
        </w:rPr>
      </w:pPr>
      <w:r w:rsidRPr="00B6578F">
        <w:rPr>
          <w:rFonts w:asciiTheme="minorHAnsi" w:hAnsiTheme="minorHAnsi"/>
          <w:sz w:val="22"/>
          <w:szCs w:val="22"/>
        </w:rPr>
        <w:t>Recherche sur la valeur sociale, culturelle et économique du Louvre</w:t>
      </w:r>
      <w:r w:rsidR="00E57D57" w:rsidRPr="00B6578F">
        <w:rPr>
          <w:rFonts w:asciiTheme="minorHAnsi" w:hAnsiTheme="minorHAnsi"/>
          <w:sz w:val="22"/>
          <w:szCs w:val="22"/>
        </w:rPr>
        <w:t xml:space="preserve"> (en partenariat avec le Centre d’économie de la Sorbonne </w:t>
      </w:r>
      <w:r w:rsidR="004B7FC6" w:rsidRPr="00B6578F">
        <w:rPr>
          <w:rFonts w:asciiTheme="minorHAnsi" w:hAnsiTheme="minorHAnsi"/>
          <w:sz w:val="22"/>
          <w:szCs w:val="22"/>
        </w:rPr>
        <w:t>-</w:t>
      </w:r>
      <w:r w:rsidR="00E57D57" w:rsidRPr="00B6578F">
        <w:rPr>
          <w:rFonts w:asciiTheme="minorHAnsi" w:hAnsiTheme="minorHAnsi"/>
          <w:sz w:val="22"/>
          <w:szCs w:val="22"/>
        </w:rPr>
        <w:t xml:space="preserve"> Université Paris I Sorbonne)</w:t>
      </w:r>
      <w:r w:rsidRPr="00B6578F">
        <w:rPr>
          <w:rFonts w:asciiTheme="minorHAnsi" w:hAnsiTheme="minorHAnsi"/>
          <w:sz w:val="22"/>
          <w:szCs w:val="22"/>
        </w:rPr>
        <w:t>.</w:t>
      </w:r>
    </w:p>
    <w:p w:rsidR="000762AF" w:rsidRDefault="000762AF" w:rsidP="00AE4BAA">
      <w:pPr>
        <w:jc w:val="both"/>
        <w:rPr>
          <w:rFonts w:asciiTheme="minorHAnsi" w:hAnsiTheme="minorHAnsi"/>
          <w:iCs/>
          <w:sz w:val="22"/>
          <w:szCs w:val="22"/>
        </w:rPr>
      </w:pPr>
    </w:p>
    <w:p w:rsidR="00D7461D" w:rsidRDefault="006D1DF4" w:rsidP="006D1DF4">
      <w:pPr>
        <w:tabs>
          <w:tab w:val="left" w:pos="180"/>
          <w:tab w:val="left" w:pos="1134"/>
        </w:tabs>
        <w:jc w:val="both"/>
        <w:rPr>
          <w:rFonts w:asciiTheme="minorHAnsi" w:hAnsiTheme="minorHAnsi"/>
          <w:bCs/>
          <w:sz w:val="22"/>
          <w:szCs w:val="22"/>
        </w:rPr>
      </w:pPr>
      <w:r w:rsidRPr="00B6578F">
        <w:rPr>
          <w:rFonts w:asciiTheme="minorHAnsi" w:hAnsiTheme="minorHAnsi"/>
          <w:bCs/>
          <w:sz w:val="22"/>
          <w:szCs w:val="22"/>
        </w:rPr>
        <w:t>Le service études et recherche</w:t>
      </w:r>
      <w:r>
        <w:rPr>
          <w:rFonts w:asciiTheme="minorHAnsi" w:hAnsiTheme="minorHAnsi"/>
          <w:bCs/>
          <w:sz w:val="22"/>
          <w:szCs w:val="22"/>
        </w:rPr>
        <w:t xml:space="preserve"> </w:t>
      </w:r>
      <w:r w:rsidR="0074316F">
        <w:rPr>
          <w:rFonts w:asciiTheme="minorHAnsi" w:hAnsiTheme="minorHAnsi"/>
          <w:bCs/>
          <w:sz w:val="22"/>
          <w:szCs w:val="22"/>
        </w:rPr>
        <w:t>a</w:t>
      </w:r>
      <w:r>
        <w:rPr>
          <w:rFonts w:asciiTheme="minorHAnsi" w:hAnsiTheme="minorHAnsi"/>
          <w:bCs/>
          <w:sz w:val="22"/>
          <w:szCs w:val="22"/>
        </w:rPr>
        <w:t xml:space="preserve"> également</w:t>
      </w:r>
      <w:r w:rsidRPr="00B6578F">
        <w:rPr>
          <w:rFonts w:asciiTheme="minorHAnsi" w:hAnsiTheme="minorHAnsi"/>
          <w:bCs/>
          <w:sz w:val="22"/>
          <w:szCs w:val="22"/>
        </w:rPr>
        <w:t xml:space="preserve"> </w:t>
      </w:r>
      <w:r w:rsidR="0074316F">
        <w:rPr>
          <w:rFonts w:asciiTheme="minorHAnsi" w:hAnsiTheme="minorHAnsi"/>
          <w:bCs/>
          <w:sz w:val="22"/>
          <w:szCs w:val="22"/>
        </w:rPr>
        <w:t xml:space="preserve">initié </w:t>
      </w:r>
      <w:r w:rsidRPr="00B6578F">
        <w:rPr>
          <w:rFonts w:asciiTheme="minorHAnsi" w:hAnsiTheme="minorHAnsi"/>
          <w:bCs/>
          <w:sz w:val="22"/>
          <w:szCs w:val="22"/>
        </w:rPr>
        <w:t xml:space="preserve">un groupe de travail rassemblant des responsables d’études ou </w:t>
      </w:r>
      <w:r>
        <w:rPr>
          <w:rFonts w:asciiTheme="minorHAnsi" w:hAnsiTheme="minorHAnsi"/>
          <w:bCs/>
          <w:sz w:val="22"/>
          <w:szCs w:val="22"/>
        </w:rPr>
        <w:t>de</w:t>
      </w:r>
      <w:r w:rsidR="00C21411">
        <w:rPr>
          <w:rFonts w:asciiTheme="minorHAnsi" w:hAnsiTheme="minorHAnsi"/>
          <w:bCs/>
          <w:sz w:val="22"/>
          <w:szCs w:val="22"/>
        </w:rPr>
        <w:t>s</w:t>
      </w:r>
      <w:r>
        <w:rPr>
          <w:rFonts w:asciiTheme="minorHAnsi" w:hAnsiTheme="minorHAnsi"/>
          <w:bCs/>
          <w:sz w:val="22"/>
          <w:szCs w:val="22"/>
        </w:rPr>
        <w:t xml:space="preserve"> services</w:t>
      </w:r>
      <w:r w:rsidRPr="00B6578F">
        <w:rPr>
          <w:rFonts w:asciiTheme="minorHAnsi" w:hAnsiTheme="minorHAnsi"/>
          <w:bCs/>
          <w:sz w:val="22"/>
          <w:szCs w:val="22"/>
        </w:rPr>
        <w:t xml:space="preserve"> </w:t>
      </w:r>
      <w:r>
        <w:rPr>
          <w:rFonts w:asciiTheme="minorHAnsi" w:hAnsiTheme="minorHAnsi"/>
          <w:bCs/>
          <w:sz w:val="22"/>
          <w:szCs w:val="22"/>
        </w:rPr>
        <w:t>producteurs</w:t>
      </w:r>
      <w:r w:rsidRPr="00B6578F">
        <w:rPr>
          <w:rFonts w:asciiTheme="minorHAnsi" w:hAnsiTheme="minorHAnsi"/>
          <w:bCs/>
          <w:sz w:val="22"/>
          <w:szCs w:val="22"/>
        </w:rPr>
        <w:t xml:space="preserve"> de données chiffrées, réseau </w:t>
      </w:r>
      <w:r>
        <w:rPr>
          <w:rFonts w:asciiTheme="minorHAnsi" w:hAnsiTheme="minorHAnsi"/>
          <w:bCs/>
          <w:sz w:val="22"/>
          <w:szCs w:val="22"/>
        </w:rPr>
        <w:t xml:space="preserve">informel </w:t>
      </w:r>
      <w:r w:rsidRPr="00B6578F">
        <w:rPr>
          <w:rFonts w:asciiTheme="minorHAnsi" w:hAnsiTheme="minorHAnsi"/>
          <w:bCs/>
          <w:sz w:val="22"/>
          <w:szCs w:val="22"/>
        </w:rPr>
        <w:t xml:space="preserve">qui accueille </w:t>
      </w:r>
      <w:r>
        <w:rPr>
          <w:rFonts w:asciiTheme="minorHAnsi" w:hAnsiTheme="minorHAnsi"/>
          <w:bCs/>
          <w:sz w:val="22"/>
          <w:szCs w:val="22"/>
        </w:rPr>
        <w:t xml:space="preserve">17 </w:t>
      </w:r>
      <w:r>
        <w:rPr>
          <w:rFonts w:asciiTheme="minorHAnsi" w:hAnsiTheme="minorHAnsi"/>
          <w:bCs/>
          <w:sz w:val="22"/>
          <w:szCs w:val="22"/>
        </w:rPr>
        <w:lastRenderedPageBreak/>
        <w:t xml:space="preserve">organismes ou équipements culturels, patrimoniaux </w:t>
      </w:r>
      <w:r w:rsidR="00C21411">
        <w:rPr>
          <w:rFonts w:asciiTheme="minorHAnsi" w:hAnsiTheme="minorHAnsi"/>
          <w:bCs/>
          <w:sz w:val="22"/>
          <w:szCs w:val="22"/>
        </w:rPr>
        <w:t>et</w:t>
      </w:r>
      <w:r>
        <w:rPr>
          <w:rFonts w:asciiTheme="minorHAnsi" w:hAnsiTheme="minorHAnsi"/>
          <w:bCs/>
          <w:sz w:val="22"/>
          <w:szCs w:val="22"/>
        </w:rPr>
        <w:t xml:space="preserve"> touristiques</w:t>
      </w:r>
      <w:r>
        <w:rPr>
          <w:rStyle w:val="Appelnotedebasdep"/>
          <w:rFonts w:asciiTheme="minorHAnsi" w:hAnsiTheme="minorHAnsi"/>
          <w:bCs/>
          <w:sz w:val="22"/>
          <w:szCs w:val="22"/>
        </w:rPr>
        <w:footnoteReference w:id="1"/>
      </w:r>
      <w:r>
        <w:rPr>
          <w:rFonts w:asciiTheme="minorHAnsi" w:hAnsiTheme="minorHAnsi"/>
          <w:bCs/>
          <w:sz w:val="22"/>
          <w:szCs w:val="22"/>
        </w:rPr>
        <w:t xml:space="preserve"> </w:t>
      </w:r>
      <w:r w:rsidRPr="00B6578F">
        <w:rPr>
          <w:rFonts w:asciiTheme="minorHAnsi" w:hAnsiTheme="minorHAnsi"/>
          <w:bCs/>
          <w:sz w:val="22"/>
          <w:szCs w:val="22"/>
        </w:rPr>
        <w:t xml:space="preserve">afin de partager et d’analyser en continu les résultats et les tendances de fréquentation. </w:t>
      </w:r>
    </w:p>
    <w:p w:rsidR="006D1DF4" w:rsidRPr="00B6578F" w:rsidRDefault="006D1DF4" w:rsidP="006D1DF4">
      <w:pPr>
        <w:tabs>
          <w:tab w:val="left" w:pos="180"/>
          <w:tab w:val="left" w:pos="1134"/>
        </w:tabs>
        <w:jc w:val="both"/>
        <w:rPr>
          <w:rFonts w:asciiTheme="minorHAnsi" w:hAnsiTheme="minorHAnsi"/>
          <w:bCs/>
          <w:sz w:val="22"/>
          <w:szCs w:val="22"/>
        </w:rPr>
      </w:pPr>
      <w:r w:rsidRPr="00B6578F">
        <w:rPr>
          <w:rFonts w:asciiTheme="minorHAnsi" w:hAnsiTheme="minorHAnsi"/>
          <w:bCs/>
          <w:sz w:val="22"/>
          <w:szCs w:val="22"/>
        </w:rPr>
        <w:t>Un deuxième réseau</w:t>
      </w:r>
      <w:r>
        <w:rPr>
          <w:rFonts w:asciiTheme="minorHAnsi" w:hAnsiTheme="minorHAnsi"/>
          <w:bCs/>
          <w:sz w:val="22"/>
          <w:szCs w:val="22"/>
        </w:rPr>
        <w:t>,</w:t>
      </w:r>
      <w:r w:rsidRPr="00B6578F">
        <w:rPr>
          <w:rFonts w:asciiTheme="minorHAnsi" w:hAnsiTheme="minorHAnsi"/>
          <w:bCs/>
          <w:sz w:val="22"/>
          <w:szCs w:val="22"/>
        </w:rPr>
        <w:t xml:space="preserve"> international</w:t>
      </w:r>
      <w:r>
        <w:rPr>
          <w:rFonts w:asciiTheme="minorHAnsi" w:hAnsiTheme="minorHAnsi"/>
          <w:bCs/>
          <w:sz w:val="22"/>
          <w:szCs w:val="22"/>
        </w:rPr>
        <w:t>, a été constitué</w:t>
      </w:r>
      <w:r w:rsidRPr="00B6578F">
        <w:rPr>
          <w:rFonts w:asciiTheme="minorHAnsi" w:hAnsiTheme="minorHAnsi"/>
          <w:bCs/>
          <w:sz w:val="22"/>
          <w:szCs w:val="22"/>
        </w:rPr>
        <w:t xml:space="preserve"> en lien avec des musées situés dans diverses régions du monde, avec la même visée d’échanges et de partage des évolutions et des tendances conjoncturelles en matière de publics, de fréquentation, ou de politiques culturelles et tarifaires.</w:t>
      </w:r>
    </w:p>
    <w:p w:rsidR="006D1DF4" w:rsidRPr="00B6578F" w:rsidRDefault="006D1DF4" w:rsidP="00AE4BAA">
      <w:pPr>
        <w:jc w:val="both"/>
        <w:rPr>
          <w:rFonts w:asciiTheme="minorHAnsi" w:hAnsiTheme="minorHAnsi"/>
          <w:iCs/>
          <w:sz w:val="22"/>
          <w:szCs w:val="22"/>
        </w:rPr>
      </w:pPr>
    </w:p>
    <w:p w:rsidR="000762AF" w:rsidRPr="00B6578F" w:rsidRDefault="00420684" w:rsidP="00AE4BAA">
      <w:pPr>
        <w:jc w:val="both"/>
        <w:rPr>
          <w:rFonts w:asciiTheme="minorHAnsi" w:hAnsiTheme="minorHAnsi"/>
          <w:iCs/>
          <w:sz w:val="22"/>
          <w:szCs w:val="22"/>
        </w:rPr>
      </w:pPr>
      <w:r>
        <w:rPr>
          <w:rFonts w:asciiTheme="minorHAnsi" w:hAnsiTheme="minorHAnsi"/>
          <w:iCs/>
          <w:sz w:val="22"/>
          <w:szCs w:val="22"/>
        </w:rPr>
        <w:t>L’activité du service inclut</w:t>
      </w:r>
      <w:r w:rsidR="00E57D57" w:rsidRPr="00B6578F">
        <w:rPr>
          <w:rFonts w:asciiTheme="minorHAnsi" w:hAnsiTheme="minorHAnsi"/>
          <w:iCs/>
          <w:sz w:val="22"/>
          <w:szCs w:val="22"/>
        </w:rPr>
        <w:t xml:space="preserve"> aussi la participation</w:t>
      </w:r>
      <w:r w:rsidR="0025788C" w:rsidRPr="00B6578F">
        <w:rPr>
          <w:rFonts w:asciiTheme="minorHAnsi" w:hAnsiTheme="minorHAnsi"/>
          <w:iCs/>
          <w:sz w:val="22"/>
          <w:szCs w:val="22"/>
        </w:rPr>
        <w:t xml:space="preserve"> à des conférences </w:t>
      </w:r>
      <w:r w:rsidR="00DD3065" w:rsidRPr="00B6578F">
        <w:rPr>
          <w:rFonts w:asciiTheme="minorHAnsi" w:hAnsiTheme="minorHAnsi"/>
          <w:iCs/>
          <w:sz w:val="22"/>
          <w:szCs w:val="22"/>
        </w:rPr>
        <w:t xml:space="preserve">généralistes ou </w:t>
      </w:r>
      <w:r w:rsidR="009D01E2" w:rsidRPr="00B6578F">
        <w:rPr>
          <w:rFonts w:asciiTheme="minorHAnsi" w:hAnsiTheme="minorHAnsi"/>
          <w:iCs/>
          <w:sz w:val="22"/>
          <w:szCs w:val="22"/>
        </w:rPr>
        <w:t>académiques ;</w:t>
      </w:r>
      <w:r w:rsidR="0025788C" w:rsidRPr="00B6578F">
        <w:rPr>
          <w:rFonts w:asciiTheme="minorHAnsi" w:hAnsiTheme="minorHAnsi"/>
          <w:iCs/>
          <w:sz w:val="22"/>
          <w:szCs w:val="22"/>
        </w:rPr>
        <w:t xml:space="preserve"> </w:t>
      </w:r>
      <w:r w:rsidR="005850A7" w:rsidRPr="00B6578F">
        <w:rPr>
          <w:rFonts w:asciiTheme="minorHAnsi" w:hAnsiTheme="minorHAnsi"/>
          <w:iCs/>
          <w:sz w:val="22"/>
          <w:szCs w:val="22"/>
        </w:rPr>
        <w:t>d</w:t>
      </w:r>
      <w:r w:rsidR="008766AC">
        <w:rPr>
          <w:rFonts w:asciiTheme="minorHAnsi" w:hAnsiTheme="minorHAnsi"/>
          <w:iCs/>
          <w:sz w:val="22"/>
          <w:szCs w:val="22"/>
        </w:rPr>
        <w:t xml:space="preserve">es </w:t>
      </w:r>
      <w:r w:rsidR="00E57D57" w:rsidRPr="00B6578F">
        <w:rPr>
          <w:rFonts w:asciiTheme="minorHAnsi" w:hAnsiTheme="minorHAnsi"/>
          <w:iCs/>
          <w:sz w:val="22"/>
          <w:szCs w:val="22"/>
        </w:rPr>
        <w:t>publications à visée généraliste ou au sei</w:t>
      </w:r>
      <w:r w:rsidR="009D01E2" w:rsidRPr="00B6578F">
        <w:rPr>
          <w:rFonts w:asciiTheme="minorHAnsi" w:hAnsiTheme="minorHAnsi"/>
          <w:iCs/>
          <w:sz w:val="22"/>
          <w:szCs w:val="22"/>
        </w:rPr>
        <w:t>n de revues à comité de lecture ;</w:t>
      </w:r>
      <w:r w:rsidR="00E57D57" w:rsidRPr="00B6578F">
        <w:rPr>
          <w:rFonts w:asciiTheme="minorHAnsi" w:hAnsiTheme="minorHAnsi"/>
          <w:iCs/>
          <w:sz w:val="22"/>
          <w:szCs w:val="22"/>
        </w:rPr>
        <w:t xml:space="preserve"> </w:t>
      </w:r>
      <w:r w:rsidR="00A45EC8">
        <w:rPr>
          <w:rFonts w:asciiTheme="minorHAnsi" w:hAnsiTheme="minorHAnsi"/>
          <w:iCs/>
          <w:sz w:val="22"/>
          <w:szCs w:val="22"/>
        </w:rPr>
        <w:t>enfin,</w:t>
      </w:r>
      <w:r w:rsidR="004457A2">
        <w:rPr>
          <w:rFonts w:asciiTheme="minorHAnsi" w:hAnsiTheme="minorHAnsi"/>
          <w:iCs/>
          <w:sz w:val="22"/>
          <w:szCs w:val="22"/>
        </w:rPr>
        <w:t xml:space="preserve"> des responsabilités régulières ou </w:t>
      </w:r>
      <w:r w:rsidR="0076320A">
        <w:rPr>
          <w:rFonts w:asciiTheme="minorHAnsi" w:hAnsiTheme="minorHAnsi"/>
          <w:iCs/>
          <w:sz w:val="22"/>
          <w:szCs w:val="22"/>
        </w:rPr>
        <w:t>ponctuelle</w:t>
      </w:r>
      <w:r w:rsidR="004457A2">
        <w:rPr>
          <w:rFonts w:asciiTheme="minorHAnsi" w:hAnsiTheme="minorHAnsi"/>
          <w:iCs/>
          <w:sz w:val="22"/>
          <w:szCs w:val="22"/>
        </w:rPr>
        <w:t>s</w:t>
      </w:r>
      <w:r w:rsidR="0076320A">
        <w:rPr>
          <w:rFonts w:asciiTheme="minorHAnsi" w:hAnsiTheme="minorHAnsi"/>
          <w:iCs/>
          <w:sz w:val="22"/>
          <w:szCs w:val="22"/>
        </w:rPr>
        <w:t xml:space="preserve"> d’</w:t>
      </w:r>
      <w:r w:rsidR="00E57D57" w:rsidRPr="00B6578F">
        <w:rPr>
          <w:rFonts w:asciiTheme="minorHAnsi" w:hAnsiTheme="minorHAnsi"/>
          <w:iCs/>
          <w:sz w:val="22"/>
          <w:szCs w:val="22"/>
        </w:rPr>
        <w:t>enseignement</w:t>
      </w:r>
      <w:r w:rsidR="00AD392D" w:rsidRPr="00B6578F">
        <w:rPr>
          <w:rFonts w:asciiTheme="minorHAnsi" w:hAnsiTheme="minorHAnsi"/>
          <w:iCs/>
          <w:sz w:val="22"/>
          <w:szCs w:val="22"/>
        </w:rPr>
        <w:t xml:space="preserve"> au sein de mastères spécialisés</w:t>
      </w:r>
      <w:r w:rsidR="00C86C60">
        <w:rPr>
          <w:rFonts w:asciiTheme="minorHAnsi" w:hAnsiTheme="minorHAnsi"/>
          <w:iCs/>
          <w:sz w:val="22"/>
          <w:szCs w:val="22"/>
        </w:rPr>
        <w:t xml:space="preserve"> ou de séminaires de recherche</w:t>
      </w:r>
      <w:r w:rsidR="00082C17">
        <w:rPr>
          <w:rFonts w:asciiTheme="minorHAnsi" w:hAnsiTheme="minorHAnsi"/>
          <w:iCs/>
          <w:sz w:val="22"/>
          <w:szCs w:val="22"/>
        </w:rPr>
        <w:t xml:space="preserve"> (Sciences Po Paris, Université Paris Dauphine, Université Paris Descartes)</w:t>
      </w:r>
      <w:r w:rsidR="00E57D57" w:rsidRPr="00B6578F">
        <w:rPr>
          <w:rFonts w:asciiTheme="minorHAnsi" w:hAnsiTheme="minorHAnsi"/>
          <w:iCs/>
          <w:sz w:val="22"/>
          <w:szCs w:val="22"/>
        </w:rPr>
        <w:t>.</w:t>
      </w:r>
    </w:p>
    <w:p w:rsidR="004518EF" w:rsidRPr="00B6578F" w:rsidRDefault="004518EF" w:rsidP="00AE4BAA">
      <w:pPr>
        <w:jc w:val="both"/>
        <w:rPr>
          <w:rFonts w:asciiTheme="minorHAnsi" w:hAnsiTheme="minorHAnsi"/>
          <w:iCs/>
          <w:sz w:val="22"/>
          <w:szCs w:val="22"/>
        </w:rPr>
      </w:pPr>
    </w:p>
    <w:p w:rsidR="004518EF" w:rsidRPr="00753974" w:rsidRDefault="00930D89" w:rsidP="00AE4BAA">
      <w:pPr>
        <w:jc w:val="both"/>
        <w:rPr>
          <w:rFonts w:asciiTheme="minorHAnsi" w:hAnsiTheme="minorHAnsi"/>
          <w:b/>
          <w:iCs/>
          <w:sz w:val="22"/>
          <w:szCs w:val="22"/>
          <w:lang w:val="en-US"/>
        </w:rPr>
      </w:pPr>
      <w:r w:rsidRPr="00753974">
        <w:rPr>
          <w:rFonts w:asciiTheme="minorHAnsi" w:hAnsiTheme="minorHAnsi"/>
          <w:b/>
          <w:iCs/>
          <w:sz w:val="22"/>
          <w:szCs w:val="22"/>
          <w:lang w:val="en-US"/>
        </w:rPr>
        <w:t>Dernières</w:t>
      </w:r>
      <w:r w:rsidR="004518EF" w:rsidRPr="00753974">
        <w:rPr>
          <w:rFonts w:asciiTheme="minorHAnsi" w:hAnsiTheme="minorHAnsi"/>
          <w:b/>
          <w:iCs/>
          <w:sz w:val="22"/>
          <w:szCs w:val="22"/>
          <w:lang w:val="en-US"/>
        </w:rPr>
        <w:t xml:space="preserve"> publications</w:t>
      </w:r>
    </w:p>
    <w:p w:rsidR="004518EF" w:rsidRPr="00B6578F" w:rsidRDefault="004518EF" w:rsidP="00AE4BAA">
      <w:pPr>
        <w:jc w:val="both"/>
        <w:rPr>
          <w:rFonts w:asciiTheme="minorHAnsi" w:hAnsiTheme="minorHAnsi"/>
          <w:iCs/>
          <w:sz w:val="22"/>
          <w:szCs w:val="22"/>
          <w:lang w:val="en-US"/>
        </w:rPr>
      </w:pPr>
    </w:p>
    <w:p w:rsidR="007D0BE2" w:rsidRPr="00B6578F" w:rsidRDefault="007D0BE2" w:rsidP="00891843">
      <w:pPr>
        <w:spacing w:after="120"/>
        <w:jc w:val="both"/>
        <w:rPr>
          <w:rFonts w:asciiTheme="minorHAnsi" w:hAnsiTheme="minorHAnsi"/>
          <w:iCs/>
          <w:sz w:val="22"/>
          <w:szCs w:val="22"/>
          <w:lang w:val="en-US"/>
        </w:rPr>
      </w:pPr>
      <w:r w:rsidRPr="00B6578F">
        <w:rPr>
          <w:rFonts w:asciiTheme="minorHAnsi" w:hAnsiTheme="minorHAnsi"/>
          <w:iCs/>
          <w:sz w:val="22"/>
          <w:szCs w:val="22"/>
          <w:lang w:val="en-US"/>
        </w:rPr>
        <w:t>Stép</w:t>
      </w:r>
      <w:r w:rsidR="002434BF">
        <w:rPr>
          <w:rFonts w:asciiTheme="minorHAnsi" w:hAnsiTheme="minorHAnsi"/>
          <w:iCs/>
          <w:sz w:val="22"/>
          <w:szCs w:val="22"/>
          <w:lang w:val="en-US"/>
        </w:rPr>
        <w:t xml:space="preserve">hane Debenedetti, Florence Caro, </w:t>
      </w:r>
      <w:r w:rsidRPr="00B6578F">
        <w:rPr>
          <w:rFonts w:asciiTheme="minorHAnsi" w:hAnsiTheme="minorHAnsi"/>
          <w:iCs/>
          <w:sz w:val="22"/>
          <w:szCs w:val="22"/>
          <w:lang w:val="en-US"/>
        </w:rPr>
        <w:t>Anne Krebs (2009), « I’d rather play than look at statues »: Th</w:t>
      </w:r>
      <w:r w:rsidR="00167536" w:rsidRPr="00B6578F">
        <w:rPr>
          <w:rFonts w:asciiTheme="minorHAnsi" w:hAnsiTheme="minorHAnsi"/>
          <w:iCs/>
          <w:sz w:val="22"/>
          <w:szCs w:val="22"/>
          <w:lang w:val="en-US"/>
        </w:rPr>
        <w:t>e experiences of children with a</w:t>
      </w:r>
      <w:r w:rsidRPr="00B6578F">
        <w:rPr>
          <w:rFonts w:asciiTheme="minorHAnsi" w:hAnsiTheme="minorHAnsi"/>
          <w:iCs/>
          <w:sz w:val="22"/>
          <w:szCs w:val="22"/>
          <w:lang w:val="en-US"/>
        </w:rPr>
        <w:t xml:space="preserve">rt works and interactive devices at an Art exhibition, </w:t>
      </w:r>
      <w:r w:rsidRPr="00B6578F">
        <w:rPr>
          <w:rFonts w:asciiTheme="minorHAnsi" w:hAnsiTheme="minorHAnsi"/>
          <w:i/>
          <w:iCs/>
          <w:sz w:val="22"/>
          <w:szCs w:val="22"/>
          <w:lang w:val="en-US"/>
        </w:rPr>
        <w:t>International Journal of Art Management</w:t>
      </w:r>
      <w:r w:rsidRPr="00B6578F">
        <w:rPr>
          <w:rFonts w:asciiTheme="minorHAnsi" w:hAnsiTheme="minorHAnsi"/>
          <w:iCs/>
          <w:sz w:val="22"/>
          <w:szCs w:val="22"/>
          <w:lang w:val="en-US"/>
        </w:rPr>
        <w:t>, vol. 11, n°3, pp. 46-58.</w:t>
      </w:r>
    </w:p>
    <w:p w:rsidR="004518EF" w:rsidRPr="00B6578F" w:rsidRDefault="008C4859" w:rsidP="00891843">
      <w:pPr>
        <w:spacing w:after="120"/>
        <w:jc w:val="both"/>
        <w:rPr>
          <w:rFonts w:asciiTheme="minorHAnsi" w:hAnsiTheme="minorHAnsi"/>
          <w:iCs/>
          <w:sz w:val="22"/>
          <w:szCs w:val="22"/>
        </w:rPr>
      </w:pPr>
      <w:r w:rsidRPr="00B6578F">
        <w:rPr>
          <w:rFonts w:asciiTheme="minorHAnsi" w:hAnsiTheme="minorHAnsi"/>
          <w:iCs/>
          <w:sz w:val="22"/>
          <w:szCs w:val="22"/>
        </w:rPr>
        <w:t>Anne Krebs (</w:t>
      </w:r>
      <w:r w:rsidR="00814E8E" w:rsidRPr="00B6578F">
        <w:rPr>
          <w:rFonts w:asciiTheme="minorHAnsi" w:hAnsiTheme="minorHAnsi"/>
          <w:iCs/>
          <w:sz w:val="22"/>
          <w:szCs w:val="22"/>
        </w:rPr>
        <w:t>2009</w:t>
      </w:r>
      <w:r w:rsidRPr="00B6578F">
        <w:rPr>
          <w:rFonts w:asciiTheme="minorHAnsi" w:hAnsiTheme="minorHAnsi"/>
          <w:iCs/>
          <w:sz w:val="22"/>
          <w:szCs w:val="22"/>
        </w:rPr>
        <w:t xml:space="preserve">), Musées et sociétés. Catégories d’action, catégories d’analyse et catégories d’usages, in, </w:t>
      </w:r>
      <w:r w:rsidRPr="00B6578F">
        <w:rPr>
          <w:rFonts w:asciiTheme="minorHAnsi" w:hAnsiTheme="minorHAnsi"/>
          <w:i/>
          <w:iCs/>
          <w:sz w:val="22"/>
          <w:szCs w:val="22"/>
        </w:rPr>
        <w:t>Musées et collections publiques de France</w:t>
      </w:r>
      <w:r w:rsidRPr="00B6578F">
        <w:rPr>
          <w:rFonts w:asciiTheme="minorHAnsi" w:hAnsiTheme="minorHAnsi"/>
          <w:iCs/>
          <w:sz w:val="22"/>
          <w:szCs w:val="22"/>
        </w:rPr>
        <w:t xml:space="preserve">, </w:t>
      </w:r>
      <w:r w:rsidR="00814E8E" w:rsidRPr="00B6578F">
        <w:rPr>
          <w:rFonts w:asciiTheme="minorHAnsi" w:hAnsiTheme="minorHAnsi"/>
          <w:iCs/>
          <w:sz w:val="22"/>
          <w:szCs w:val="22"/>
        </w:rPr>
        <w:t xml:space="preserve"> n° 255/2009/1, pp. 28-31.</w:t>
      </w:r>
    </w:p>
    <w:p w:rsidR="002F491A" w:rsidRPr="00B6578F" w:rsidRDefault="00173616" w:rsidP="00AE4BAA">
      <w:pPr>
        <w:jc w:val="both"/>
        <w:rPr>
          <w:rFonts w:asciiTheme="minorHAnsi" w:hAnsiTheme="minorHAnsi"/>
          <w:iCs/>
          <w:sz w:val="22"/>
          <w:szCs w:val="22"/>
        </w:rPr>
      </w:pPr>
      <w:r w:rsidRPr="00B6578F">
        <w:rPr>
          <w:rFonts w:asciiTheme="minorHAnsi" w:hAnsiTheme="minorHAnsi"/>
          <w:iCs/>
          <w:sz w:val="22"/>
          <w:szCs w:val="22"/>
        </w:rPr>
        <w:t>Xavier Greffe et</w:t>
      </w:r>
      <w:r w:rsidR="008C4859" w:rsidRPr="00B6578F">
        <w:rPr>
          <w:rFonts w:asciiTheme="minorHAnsi" w:hAnsiTheme="minorHAnsi"/>
          <w:iCs/>
          <w:sz w:val="22"/>
          <w:szCs w:val="22"/>
        </w:rPr>
        <w:t xml:space="preserve"> Anne Krebs (2011), </w:t>
      </w:r>
      <w:r w:rsidR="008C4859" w:rsidRPr="00B6578F">
        <w:rPr>
          <w:rFonts w:asciiTheme="minorHAnsi" w:hAnsiTheme="minorHAnsi"/>
          <w:i/>
          <w:iCs/>
          <w:sz w:val="22"/>
          <w:szCs w:val="22"/>
        </w:rPr>
        <w:t>Les relations entre les musées et les municipalités en Europe</w:t>
      </w:r>
      <w:r w:rsidR="008C4859" w:rsidRPr="00B6578F">
        <w:rPr>
          <w:rFonts w:asciiTheme="minorHAnsi" w:hAnsiTheme="minorHAnsi"/>
          <w:iCs/>
          <w:sz w:val="22"/>
          <w:szCs w:val="22"/>
        </w:rPr>
        <w:t>, rapport du Groupement d’analyse politique E=MU</w:t>
      </w:r>
      <w:r w:rsidR="008C4859" w:rsidRPr="00B6578F">
        <w:rPr>
          <w:rFonts w:asciiTheme="minorHAnsi" w:hAnsiTheme="minorHAnsi"/>
          <w:iCs/>
          <w:sz w:val="22"/>
          <w:szCs w:val="22"/>
          <w:vertAlign w:val="superscript"/>
        </w:rPr>
        <w:t>2</w:t>
      </w:r>
      <w:r w:rsidR="00814E8E" w:rsidRPr="00B6578F">
        <w:rPr>
          <w:rFonts w:asciiTheme="minorHAnsi" w:hAnsiTheme="minorHAnsi"/>
          <w:iCs/>
          <w:sz w:val="22"/>
          <w:szCs w:val="22"/>
        </w:rPr>
        <w:t xml:space="preserve">, </w:t>
      </w:r>
      <w:r w:rsidR="008C4859" w:rsidRPr="00B6578F">
        <w:rPr>
          <w:rFonts w:asciiTheme="minorHAnsi" w:hAnsiTheme="minorHAnsi"/>
          <w:iCs/>
          <w:sz w:val="22"/>
          <w:szCs w:val="22"/>
        </w:rPr>
        <w:t>f</w:t>
      </w:r>
      <w:r w:rsidR="003B252D">
        <w:rPr>
          <w:rFonts w:asciiTheme="minorHAnsi" w:hAnsiTheme="minorHAnsi"/>
          <w:iCs/>
          <w:sz w:val="22"/>
          <w:szCs w:val="22"/>
        </w:rPr>
        <w:t xml:space="preserve">inancé par l’Union européenne. Le rapport, en français ou en anglais, </w:t>
      </w:r>
      <w:r w:rsidR="00553F96">
        <w:rPr>
          <w:rFonts w:asciiTheme="minorHAnsi" w:hAnsiTheme="minorHAnsi"/>
          <w:iCs/>
          <w:sz w:val="22"/>
          <w:szCs w:val="22"/>
        </w:rPr>
        <w:t>ainsi qu’</w:t>
      </w:r>
      <w:r w:rsidR="003B252D">
        <w:rPr>
          <w:rFonts w:asciiTheme="minorHAnsi" w:hAnsiTheme="minorHAnsi"/>
          <w:iCs/>
          <w:sz w:val="22"/>
          <w:szCs w:val="22"/>
        </w:rPr>
        <w:t>un corpus de 14 études de cas sont a</w:t>
      </w:r>
      <w:r w:rsidR="008C4859" w:rsidRPr="00B6578F">
        <w:rPr>
          <w:rFonts w:asciiTheme="minorHAnsi" w:hAnsiTheme="minorHAnsi"/>
          <w:iCs/>
          <w:sz w:val="22"/>
          <w:szCs w:val="22"/>
        </w:rPr>
        <w:t>ccessible</w:t>
      </w:r>
      <w:r w:rsidR="00201498">
        <w:rPr>
          <w:rFonts w:asciiTheme="minorHAnsi" w:hAnsiTheme="minorHAnsi"/>
          <w:iCs/>
          <w:sz w:val="22"/>
          <w:szCs w:val="22"/>
        </w:rPr>
        <w:t>s</w:t>
      </w:r>
      <w:r w:rsidR="008C4859" w:rsidRPr="00B6578F">
        <w:rPr>
          <w:rFonts w:asciiTheme="minorHAnsi" w:hAnsiTheme="minorHAnsi"/>
          <w:iCs/>
          <w:sz w:val="22"/>
          <w:szCs w:val="22"/>
        </w:rPr>
        <w:t xml:space="preserve"> en ligne</w:t>
      </w:r>
      <w:r w:rsidR="0010099F">
        <w:rPr>
          <w:rFonts w:asciiTheme="minorHAnsi" w:hAnsiTheme="minorHAnsi"/>
          <w:iCs/>
          <w:sz w:val="22"/>
          <w:szCs w:val="22"/>
        </w:rPr>
        <w:t xml:space="preserve"> </w:t>
      </w:r>
      <w:r w:rsidR="008C4859" w:rsidRPr="00B6578F">
        <w:rPr>
          <w:rFonts w:asciiTheme="minorHAnsi" w:hAnsiTheme="minorHAnsi"/>
          <w:iCs/>
          <w:sz w:val="22"/>
          <w:szCs w:val="22"/>
        </w:rPr>
        <w:t xml:space="preserve">: </w:t>
      </w:r>
      <w:hyperlink r:id="rId11" w:history="1">
        <w:r w:rsidR="002F491A" w:rsidRPr="00B6578F">
          <w:rPr>
            <w:rStyle w:val="Lienhypertexte"/>
            <w:rFonts w:asciiTheme="minorHAnsi" w:hAnsiTheme="minorHAnsi"/>
            <w:iCs/>
            <w:sz w:val="22"/>
            <w:szCs w:val="22"/>
          </w:rPr>
          <w:t>http://www.encatc.org/pages/index.php?id=189</w:t>
        </w:r>
      </w:hyperlink>
      <w:r w:rsidR="002F491A" w:rsidRPr="00B6578F">
        <w:rPr>
          <w:rFonts w:asciiTheme="minorHAnsi" w:hAnsiTheme="minorHAnsi"/>
          <w:iCs/>
          <w:sz w:val="22"/>
          <w:szCs w:val="22"/>
        </w:rPr>
        <w:t xml:space="preserve"> </w:t>
      </w:r>
    </w:p>
    <w:p w:rsidR="002F491A" w:rsidRPr="00B6578F" w:rsidRDefault="002F491A" w:rsidP="00AE4BAA">
      <w:pPr>
        <w:jc w:val="both"/>
        <w:rPr>
          <w:rFonts w:asciiTheme="minorHAnsi" w:hAnsiTheme="minorHAnsi"/>
          <w:iCs/>
          <w:sz w:val="22"/>
          <w:szCs w:val="22"/>
        </w:rPr>
      </w:pPr>
    </w:p>
    <w:p w:rsidR="00E57D57" w:rsidRPr="00B6578F" w:rsidRDefault="00E57D57" w:rsidP="00AE4BAA">
      <w:pPr>
        <w:jc w:val="both"/>
        <w:rPr>
          <w:rFonts w:asciiTheme="minorHAnsi" w:hAnsiTheme="minorHAnsi"/>
          <w:iCs/>
          <w:sz w:val="22"/>
          <w:szCs w:val="22"/>
        </w:rPr>
      </w:pPr>
    </w:p>
    <w:p w:rsidR="00AE4BAA" w:rsidRPr="00B6578F" w:rsidRDefault="00AE4BAA" w:rsidP="00AE4BAA">
      <w:pPr>
        <w:tabs>
          <w:tab w:val="left" w:pos="180"/>
          <w:tab w:val="left" w:pos="1134"/>
        </w:tabs>
        <w:jc w:val="both"/>
        <w:rPr>
          <w:rFonts w:asciiTheme="minorHAnsi" w:hAnsiTheme="minorHAnsi"/>
          <w:b/>
          <w:bCs/>
          <w:sz w:val="22"/>
          <w:szCs w:val="22"/>
        </w:rPr>
      </w:pPr>
    </w:p>
    <w:p w:rsidR="003D6625" w:rsidRPr="00B6578F" w:rsidRDefault="003D6625">
      <w:pPr>
        <w:rPr>
          <w:rFonts w:asciiTheme="minorHAnsi" w:hAnsiTheme="minorHAnsi"/>
          <w:sz w:val="22"/>
          <w:szCs w:val="22"/>
        </w:rPr>
      </w:pPr>
    </w:p>
    <w:sectPr w:rsidR="003D6625" w:rsidRPr="00B6578F" w:rsidSect="003D662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44F" w:rsidRDefault="0032144F" w:rsidP="00747C26">
      <w:r>
        <w:separator/>
      </w:r>
    </w:p>
  </w:endnote>
  <w:endnote w:type="continuationSeparator" w:id="0">
    <w:p w:rsidR="0032144F" w:rsidRDefault="0032144F" w:rsidP="00747C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44F" w:rsidRDefault="0032144F" w:rsidP="00747C26">
      <w:r>
        <w:separator/>
      </w:r>
    </w:p>
  </w:footnote>
  <w:footnote w:type="continuationSeparator" w:id="0">
    <w:p w:rsidR="0032144F" w:rsidRDefault="0032144F" w:rsidP="00747C26">
      <w:r>
        <w:continuationSeparator/>
      </w:r>
    </w:p>
  </w:footnote>
  <w:footnote w:id="1">
    <w:p w:rsidR="006D1DF4" w:rsidRPr="00747C26" w:rsidRDefault="006D1DF4" w:rsidP="006D1DF4">
      <w:pPr>
        <w:pStyle w:val="Notedebasdepage"/>
        <w:rPr>
          <w:rFonts w:asciiTheme="minorHAnsi" w:hAnsiTheme="minorHAnsi"/>
          <w:sz w:val="18"/>
          <w:szCs w:val="18"/>
        </w:rPr>
      </w:pPr>
      <w:r w:rsidRPr="00747C26">
        <w:rPr>
          <w:rStyle w:val="Appelnotedebasdep"/>
          <w:rFonts w:asciiTheme="minorHAnsi" w:hAnsiTheme="minorHAnsi"/>
          <w:sz w:val="18"/>
          <w:szCs w:val="18"/>
        </w:rPr>
        <w:footnoteRef/>
      </w:r>
      <w:r w:rsidRPr="00747C26">
        <w:rPr>
          <w:rFonts w:asciiTheme="minorHAnsi" w:hAnsiTheme="minorHAnsi"/>
          <w:sz w:val="18"/>
          <w:szCs w:val="18"/>
        </w:rPr>
        <w:t xml:space="preserve"> Bibliothèque Nationale de France, </w:t>
      </w:r>
      <w:r w:rsidR="00F44359" w:rsidRPr="00747C26">
        <w:rPr>
          <w:rFonts w:asciiTheme="minorHAnsi" w:hAnsiTheme="minorHAnsi"/>
          <w:sz w:val="18"/>
          <w:szCs w:val="18"/>
        </w:rPr>
        <w:t>Centre Georges Pompidou</w:t>
      </w:r>
      <w:r w:rsidR="00F44359">
        <w:rPr>
          <w:rFonts w:asciiTheme="minorHAnsi" w:hAnsiTheme="minorHAnsi"/>
          <w:sz w:val="18"/>
          <w:szCs w:val="18"/>
        </w:rPr>
        <w:t xml:space="preserve">, </w:t>
      </w:r>
      <w:r w:rsidRPr="00747C26">
        <w:rPr>
          <w:rFonts w:asciiTheme="minorHAnsi" w:hAnsiTheme="minorHAnsi"/>
          <w:sz w:val="18"/>
          <w:szCs w:val="18"/>
        </w:rPr>
        <w:t xml:space="preserve">Centre des monuments nationaux, </w:t>
      </w:r>
      <w:r w:rsidR="0020561E">
        <w:rPr>
          <w:rFonts w:asciiTheme="minorHAnsi" w:hAnsiTheme="minorHAnsi"/>
          <w:sz w:val="18"/>
          <w:szCs w:val="18"/>
        </w:rPr>
        <w:t>C</w:t>
      </w:r>
      <w:r w:rsidR="005B0611" w:rsidRPr="00747C26">
        <w:rPr>
          <w:rFonts w:asciiTheme="minorHAnsi" w:hAnsiTheme="minorHAnsi"/>
          <w:sz w:val="18"/>
          <w:szCs w:val="18"/>
        </w:rPr>
        <w:t>hâteau du Haut-Koenigsbourg</w:t>
      </w:r>
      <w:r w:rsidR="005B0611">
        <w:rPr>
          <w:rFonts w:asciiTheme="minorHAnsi" w:hAnsiTheme="minorHAnsi"/>
          <w:sz w:val="18"/>
          <w:szCs w:val="18"/>
        </w:rPr>
        <w:t xml:space="preserve">, </w:t>
      </w:r>
      <w:r w:rsidR="00F44359" w:rsidRPr="00747C26">
        <w:rPr>
          <w:rFonts w:asciiTheme="minorHAnsi" w:hAnsiTheme="minorHAnsi"/>
          <w:sz w:val="18"/>
          <w:szCs w:val="18"/>
        </w:rPr>
        <w:t>Château de Versailles</w:t>
      </w:r>
      <w:r w:rsidR="00F44359">
        <w:rPr>
          <w:rFonts w:asciiTheme="minorHAnsi" w:hAnsiTheme="minorHAnsi"/>
          <w:sz w:val="18"/>
          <w:szCs w:val="18"/>
        </w:rPr>
        <w:t>,</w:t>
      </w:r>
      <w:r w:rsidR="0068236E">
        <w:rPr>
          <w:rFonts w:asciiTheme="minorHAnsi" w:hAnsiTheme="minorHAnsi"/>
          <w:sz w:val="18"/>
          <w:szCs w:val="18"/>
        </w:rPr>
        <w:t xml:space="preserve"> </w:t>
      </w:r>
      <w:r w:rsidR="00F44359" w:rsidRPr="00747C26">
        <w:rPr>
          <w:rFonts w:asciiTheme="minorHAnsi" w:hAnsiTheme="minorHAnsi"/>
          <w:sz w:val="18"/>
          <w:szCs w:val="18"/>
        </w:rPr>
        <w:t>Cinémathèque française</w:t>
      </w:r>
      <w:r w:rsidR="00F44359">
        <w:rPr>
          <w:rFonts w:asciiTheme="minorHAnsi" w:hAnsiTheme="minorHAnsi"/>
          <w:sz w:val="18"/>
          <w:szCs w:val="18"/>
        </w:rPr>
        <w:t>,</w:t>
      </w:r>
      <w:r w:rsidR="00F44359" w:rsidRPr="00747C26">
        <w:rPr>
          <w:rFonts w:asciiTheme="minorHAnsi" w:hAnsiTheme="minorHAnsi"/>
          <w:sz w:val="18"/>
          <w:szCs w:val="18"/>
        </w:rPr>
        <w:t xml:space="preserve"> </w:t>
      </w:r>
      <w:r w:rsidR="00133A16">
        <w:rPr>
          <w:rFonts w:asciiTheme="minorHAnsi" w:hAnsiTheme="minorHAnsi"/>
          <w:sz w:val="18"/>
          <w:szCs w:val="18"/>
        </w:rPr>
        <w:t>Cité de l’architecture &amp;</w:t>
      </w:r>
      <w:r w:rsidR="005B0611" w:rsidRPr="00747C26">
        <w:rPr>
          <w:rFonts w:asciiTheme="minorHAnsi" w:hAnsiTheme="minorHAnsi"/>
          <w:sz w:val="18"/>
          <w:szCs w:val="18"/>
        </w:rPr>
        <w:t xml:space="preserve"> du patrimoine,</w:t>
      </w:r>
      <w:r w:rsidR="005B0611">
        <w:rPr>
          <w:rFonts w:asciiTheme="minorHAnsi" w:hAnsiTheme="minorHAnsi"/>
          <w:sz w:val="18"/>
          <w:szCs w:val="18"/>
        </w:rPr>
        <w:t xml:space="preserve"> </w:t>
      </w:r>
      <w:r w:rsidR="0068236E" w:rsidRPr="00747C26">
        <w:rPr>
          <w:rFonts w:asciiTheme="minorHAnsi" w:hAnsiTheme="minorHAnsi"/>
          <w:sz w:val="18"/>
          <w:szCs w:val="18"/>
        </w:rPr>
        <w:t xml:space="preserve">Cité des Sciences et de l’Industrie, </w:t>
      </w:r>
      <w:r w:rsidR="00172686">
        <w:rPr>
          <w:rFonts w:asciiTheme="minorHAnsi" w:hAnsiTheme="minorHAnsi"/>
          <w:sz w:val="18"/>
          <w:szCs w:val="18"/>
        </w:rPr>
        <w:t xml:space="preserve">Domaine </w:t>
      </w:r>
      <w:r w:rsidR="00172686" w:rsidRPr="00747C26">
        <w:rPr>
          <w:rFonts w:asciiTheme="minorHAnsi" w:hAnsiTheme="minorHAnsi"/>
          <w:sz w:val="18"/>
          <w:szCs w:val="18"/>
        </w:rPr>
        <w:t xml:space="preserve">de Chantilly, </w:t>
      </w:r>
      <w:r w:rsidR="00B94C0B">
        <w:rPr>
          <w:rFonts w:asciiTheme="minorHAnsi" w:hAnsiTheme="minorHAnsi"/>
          <w:sz w:val="18"/>
          <w:szCs w:val="18"/>
        </w:rPr>
        <w:t>Domaine national du château de</w:t>
      </w:r>
      <w:r w:rsidR="00F44359">
        <w:rPr>
          <w:rFonts w:asciiTheme="minorHAnsi" w:hAnsiTheme="minorHAnsi"/>
          <w:sz w:val="18"/>
          <w:szCs w:val="18"/>
        </w:rPr>
        <w:t xml:space="preserve"> Chambord,</w:t>
      </w:r>
      <w:r w:rsidRPr="00747C26">
        <w:rPr>
          <w:rFonts w:asciiTheme="minorHAnsi" w:hAnsiTheme="minorHAnsi"/>
          <w:sz w:val="18"/>
          <w:szCs w:val="18"/>
        </w:rPr>
        <w:t xml:space="preserve"> Galeries Nationales du Grand-Palais, </w:t>
      </w:r>
      <w:r w:rsidR="005B0611" w:rsidRPr="00747C26">
        <w:rPr>
          <w:rFonts w:asciiTheme="minorHAnsi" w:hAnsiTheme="minorHAnsi"/>
          <w:sz w:val="18"/>
          <w:szCs w:val="18"/>
        </w:rPr>
        <w:t xml:space="preserve">musée Guimet, musée du Louvre, </w:t>
      </w:r>
      <w:r w:rsidRPr="00747C26">
        <w:rPr>
          <w:rFonts w:asciiTheme="minorHAnsi" w:hAnsiTheme="minorHAnsi"/>
          <w:sz w:val="18"/>
          <w:szCs w:val="18"/>
        </w:rPr>
        <w:t xml:space="preserve">musée d’Orsay, musée du quai Branly, </w:t>
      </w:r>
      <w:r w:rsidR="005B0611">
        <w:rPr>
          <w:rFonts w:asciiTheme="minorHAnsi" w:hAnsiTheme="minorHAnsi"/>
          <w:sz w:val="18"/>
          <w:szCs w:val="18"/>
        </w:rPr>
        <w:t>Palais des Papes d’Avignon</w:t>
      </w:r>
      <w:r w:rsidRPr="00747C26">
        <w:rPr>
          <w:rFonts w:asciiTheme="minorHAnsi" w:hAnsiTheme="minorHAnsi"/>
          <w:sz w:val="18"/>
          <w:szCs w:val="18"/>
        </w:rPr>
        <w:t xml:space="preserve"> </w:t>
      </w:r>
      <w:r w:rsidR="001D21CD">
        <w:rPr>
          <w:rFonts w:asciiTheme="minorHAnsi" w:hAnsiTheme="minorHAnsi"/>
          <w:sz w:val="18"/>
          <w:szCs w:val="18"/>
        </w:rPr>
        <w:t>et</w:t>
      </w:r>
      <w:r>
        <w:rPr>
          <w:rFonts w:asciiTheme="minorHAnsi" w:hAnsiTheme="minorHAnsi"/>
          <w:sz w:val="18"/>
          <w:szCs w:val="18"/>
        </w:rPr>
        <w:t xml:space="preserve"> Tour Eiffel</w:t>
      </w:r>
      <w:r w:rsidRPr="00747C26">
        <w:rPr>
          <w:rFonts w:asciiTheme="minorHAnsi" w:hAnsiTheme="minorHAnsi"/>
          <w:sz w:val="18"/>
          <w:szCs w:val="18"/>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81224"/>
    <w:multiLevelType w:val="hybridMultilevel"/>
    <w:tmpl w:val="4F669646"/>
    <w:lvl w:ilvl="0" w:tplc="BFA0D33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7536BB"/>
    <w:multiLevelType w:val="hybridMultilevel"/>
    <w:tmpl w:val="A46423D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31CD49EF"/>
    <w:multiLevelType w:val="hybridMultilevel"/>
    <w:tmpl w:val="5268D646"/>
    <w:lvl w:ilvl="0" w:tplc="17963B1E">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1D4029E"/>
    <w:multiLevelType w:val="hybridMultilevel"/>
    <w:tmpl w:val="484CFF3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62D01B80"/>
    <w:multiLevelType w:val="hybridMultilevel"/>
    <w:tmpl w:val="6BA0769A"/>
    <w:lvl w:ilvl="0" w:tplc="6F00B0A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footnotePr>
    <w:footnote w:id="-1"/>
    <w:footnote w:id="0"/>
  </w:footnotePr>
  <w:endnotePr>
    <w:endnote w:id="-1"/>
    <w:endnote w:id="0"/>
  </w:endnotePr>
  <w:compat/>
  <w:rsids>
    <w:rsidRoot w:val="00AE4BAA"/>
    <w:rsid w:val="00005EAA"/>
    <w:rsid w:val="000127C1"/>
    <w:rsid w:val="000264C9"/>
    <w:rsid w:val="000762AF"/>
    <w:rsid w:val="00082C17"/>
    <w:rsid w:val="00093153"/>
    <w:rsid w:val="000944C0"/>
    <w:rsid w:val="000C79F6"/>
    <w:rsid w:val="000E1C16"/>
    <w:rsid w:val="0010099F"/>
    <w:rsid w:val="00106769"/>
    <w:rsid w:val="00133A16"/>
    <w:rsid w:val="0014270E"/>
    <w:rsid w:val="001609D3"/>
    <w:rsid w:val="00163E8D"/>
    <w:rsid w:val="00167536"/>
    <w:rsid w:val="00172686"/>
    <w:rsid w:val="00172843"/>
    <w:rsid w:val="00173616"/>
    <w:rsid w:val="00194252"/>
    <w:rsid w:val="00194256"/>
    <w:rsid w:val="001D09D5"/>
    <w:rsid w:val="001D21CD"/>
    <w:rsid w:val="001F5CC7"/>
    <w:rsid w:val="00201498"/>
    <w:rsid w:val="0020561E"/>
    <w:rsid w:val="00213964"/>
    <w:rsid w:val="002338CD"/>
    <w:rsid w:val="002434BF"/>
    <w:rsid w:val="002565E1"/>
    <w:rsid w:val="0025788C"/>
    <w:rsid w:val="00297958"/>
    <w:rsid w:val="002F491A"/>
    <w:rsid w:val="0032144F"/>
    <w:rsid w:val="00336728"/>
    <w:rsid w:val="00344652"/>
    <w:rsid w:val="00345893"/>
    <w:rsid w:val="00352922"/>
    <w:rsid w:val="00376324"/>
    <w:rsid w:val="003B2417"/>
    <w:rsid w:val="003B252D"/>
    <w:rsid w:val="003D0FD1"/>
    <w:rsid w:val="003D6625"/>
    <w:rsid w:val="0040340C"/>
    <w:rsid w:val="0041725E"/>
    <w:rsid w:val="00420684"/>
    <w:rsid w:val="00427C2E"/>
    <w:rsid w:val="0044421A"/>
    <w:rsid w:val="004457A2"/>
    <w:rsid w:val="004518EF"/>
    <w:rsid w:val="00456AB5"/>
    <w:rsid w:val="00465906"/>
    <w:rsid w:val="00466BB4"/>
    <w:rsid w:val="00497791"/>
    <w:rsid w:val="004A292F"/>
    <w:rsid w:val="004B3398"/>
    <w:rsid w:val="004B7FC6"/>
    <w:rsid w:val="004D2621"/>
    <w:rsid w:val="004E20D8"/>
    <w:rsid w:val="00507AD3"/>
    <w:rsid w:val="00552912"/>
    <w:rsid w:val="00553F96"/>
    <w:rsid w:val="0057084E"/>
    <w:rsid w:val="005738C7"/>
    <w:rsid w:val="00576AAC"/>
    <w:rsid w:val="005850A7"/>
    <w:rsid w:val="00597033"/>
    <w:rsid w:val="005973F1"/>
    <w:rsid w:val="005A077F"/>
    <w:rsid w:val="005A435B"/>
    <w:rsid w:val="005B0611"/>
    <w:rsid w:val="005B1305"/>
    <w:rsid w:val="005C74C7"/>
    <w:rsid w:val="005C7837"/>
    <w:rsid w:val="005F4AC6"/>
    <w:rsid w:val="00600828"/>
    <w:rsid w:val="006015F0"/>
    <w:rsid w:val="00614C59"/>
    <w:rsid w:val="00670B80"/>
    <w:rsid w:val="0068236E"/>
    <w:rsid w:val="00686B4E"/>
    <w:rsid w:val="00696359"/>
    <w:rsid w:val="006A385F"/>
    <w:rsid w:val="006D1DF4"/>
    <w:rsid w:val="006E143B"/>
    <w:rsid w:val="0073778C"/>
    <w:rsid w:val="0074316F"/>
    <w:rsid w:val="00744970"/>
    <w:rsid w:val="00747C26"/>
    <w:rsid w:val="00753974"/>
    <w:rsid w:val="0075468E"/>
    <w:rsid w:val="00755CD5"/>
    <w:rsid w:val="0076320A"/>
    <w:rsid w:val="0076798A"/>
    <w:rsid w:val="00772AAE"/>
    <w:rsid w:val="00784691"/>
    <w:rsid w:val="007D0BE2"/>
    <w:rsid w:val="008050FD"/>
    <w:rsid w:val="00814E8E"/>
    <w:rsid w:val="008758B8"/>
    <w:rsid w:val="008766AC"/>
    <w:rsid w:val="00886FCA"/>
    <w:rsid w:val="00891843"/>
    <w:rsid w:val="008A74AA"/>
    <w:rsid w:val="008C2F91"/>
    <w:rsid w:val="008C4859"/>
    <w:rsid w:val="008C5690"/>
    <w:rsid w:val="008E1E25"/>
    <w:rsid w:val="008E328E"/>
    <w:rsid w:val="008E78A1"/>
    <w:rsid w:val="00906F31"/>
    <w:rsid w:val="00907C06"/>
    <w:rsid w:val="00930D89"/>
    <w:rsid w:val="00936177"/>
    <w:rsid w:val="00973865"/>
    <w:rsid w:val="009A22EA"/>
    <w:rsid w:val="009B44B1"/>
    <w:rsid w:val="009D01E2"/>
    <w:rsid w:val="009E5BA7"/>
    <w:rsid w:val="00A22173"/>
    <w:rsid w:val="00A45EC8"/>
    <w:rsid w:val="00A50829"/>
    <w:rsid w:val="00A610A8"/>
    <w:rsid w:val="00A65436"/>
    <w:rsid w:val="00AC4428"/>
    <w:rsid w:val="00AD33BF"/>
    <w:rsid w:val="00AD392D"/>
    <w:rsid w:val="00AE066E"/>
    <w:rsid w:val="00AE2A4E"/>
    <w:rsid w:val="00AE4BAA"/>
    <w:rsid w:val="00B00D26"/>
    <w:rsid w:val="00B2353C"/>
    <w:rsid w:val="00B31CB7"/>
    <w:rsid w:val="00B33B7E"/>
    <w:rsid w:val="00B37689"/>
    <w:rsid w:val="00B6578F"/>
    <w:rsid w:val="00B77BC3"/>
    <w:rsid w:val="00B9399D"/>
    <w:rsid w:val="00B94C0B"/>
    <w:rsid w:val="00B97FAE"/>
    <w:rsid w:val="00BB1264"/>
    <w:rsid w:val="00BE0C92"/>
    <w:rsid w:val="00C0512F"/>
    <w:rsid w:val="00C21411"/>
    <w:rsid w:val="00C37426"/>
    <w:rsid w:val="00C65A81"/>
    <w:rsid w:val="00C72AF7"/>
    <w:rsid w:val="00C76BB2"/>
    <w:rsid w:val="00C85A47"/>
    <w:rsid w:val="00C86C60"/>
    <w:rsid w:val="00CC364F"/>
    <w:rsid w:val="00CD7A15"/>
    <w:rsid w:val="00CE57D7"/>
    <w:rsid w:val="00D03826"/>
    <w:rsid w:val="00D45C81"/>
    <w:rsid w:val="00D72826"/>
    <w:rsid w:val="00D73339"/>
    <w:rsid w:val="00D7461D"/>
    <w:rsid w:val="00DA4422"/>
    <w:rsid w:val="00DA5364"/>
    <w:rsid w:val="00DA77F1"/>
    <w:rsid w:val="00DC380C"/>
    <w:rsid w:val="00DD3065"/>
    <w:rsid w:val="00DE3F25"/>
    <w:rsid w:val="00DE4C86"/>
    <w:rsid w:val="00DE55F6"/>
    <w:rsid w:val="00DF5B3F"/>
    <w:rsid w:val="00E215FE"/>
    <w:rsid w:val="00E510B0"/>
    <w:rsid w:val="00E57D57"/>
    <w:rsid w:val="00E934CE"/>
    <w:rsid w:val="00EA14D8"/>
    <w:rsid w:val="00EA229D"/>
    <w:rsid w:val="00EA22A2"/>
    <w:rsid w:val="00EA3654"/>
    <w:rsid w:val="00EB029B"/>
    <w:rsid w:val="00EE7956"/>
    <w:rsid w:val="00F22C19"/>
    <w:rsid w:val="00F24BD8"/>
    <w:rsid w:val="00F35572"/>
    <w:rsid w:val="00F44359"/>
    <w:rsid w:val="00F57404"/>
    <w:rsid w:val="00F65691"/>
    <w:rsid w:val="00F82295"/>
    <w:rsid w:val="00FC74F4"/>
    <w:rsid w:val="00FD609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BAA"/>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4256"/>
    <w:pPr>
      <w:ind w:left="720"/>
      <w:contextualSpacing/>
    </w:pPr>
  </w:style>
  <w:style w:type="character" w:styleId="Lienhypertexte">
    <w:name w:val="Hyperlink"/>
    <w:basedOn w:val="Policepardfaut"/>
    <w:uiPriority w:val="99"/>
    <w:unhideWhenUsed/>
    <w:rsid w:val="00EE7956"/>
    <w:rPr>
      <w:color w:val="0000FF" w:themeColor="hyperlink"/>
      <w:u w:val="single"/>
    </w:rPr>
  </w:style>
  <w:style w:type="paragraph" w:styleId="Notedebasdepage">
    <w:name w:val="footnote text"/>
    <w:basedOn w:val="Normal"/>
    <w:link w:val="NotedebasdepageCar"/>
    <w:uiPriority w:val="99"/>
    <w:semiHidden/>
    <w:unhideWhenUsed/>
    <w:rsid w:val="00747C26"/>
    <w:rPr>
      <w:sz w:val="20"/>
      <w:szCs w:val="20"/>
    </w:rPr>
  </w:style>
  <w:style w:type="character" w:customStyle="1" w:styleId="NotedebasdepageCar">
    <w:name w:val="Note de bas de page Car"/>
    <w:basedOn w:val="Policepardfaut"/>
    <w:link w:val="Notedebasdepage"/>
    <w:uiPriority w:val="99"/>
    <w:semiHidden/>
    <w:rsid w:val="00747C2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747C26"/>
    <w:rPr>
      <w:vertAlign w:val="superscript"/>
    </w:rPr>
  </w:style>
  <w:style w:type="paragraph" w:styleId="Textedebulles">
    <w:name w:val="Balloon Text"/>
    <w:basedOn w:val="Normal"/>
    <w:link w:val="TextedebullesCar"/>
    <w:uiPriority w:val="99"/>
    <w:semiHidden/>
    <w:unhideWhenUsed/>
    <w:rsid w:val="00B33B7E"/>
    <w:rPr>
      <w:rFonts w:ascii="Tahoma" w:hAnsi="Tahoma" w:cs="Tahoma"/>
      <w:sz w:val="16"/>
      <w:szCs w:val="16"/>
    </w:rPr>
  </w:style>
  <w:style w:type="character" w:customStyle="1" w:styleId="TextedebullesCar">
    <w:name w:val="Texte de bulles Car"/>
    <w:basedOn w:val="Policepardfaut"/>
    <w:link w:val="Textedebulles"/>
    <w:uiPriority w:val="99"/>
    <w:semiHidden/>
    <w:rsid w:val="00B33B7E"/>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catc.org/pages/index.php?id=189" TargetMode="External"/><Relationship Id="rId5" Type="http://schemas.openxmlformats.org/officeDocument/2006/relationships/webSettings" Target="webSettings.xml"/><Relationship Id="rId10" Type="http://schemas.openxmlformats.org/officeDocument/2006/relationships/hyperlink" Target="http://www.louvre.fr/llv/musee/publics.jsp" TargetMode="External"/><Relationship Id="rId4" Type="http://schemas.openxmlformats.org/officeDocument/2006/relationships/settings" Target="settings.xml"/><Relationship Id="rId9" Type="http://schemas.openxmlformats.org/officeDocument/2006/relationships/hyperlink" Target="mailto:anne.krebs@louvr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7F12B-5DB0-4636-B515-42E4BFCCF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760</Words>
  <Characters>4181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144</cp:revision>
  <dcterms:created xsi:type="dcterms:W3CDTF">2011-04-13T14:41:00Z</dcterms:created>
  <dcterms:modified xsi:type="dcterms:W3CDTF">2011-04-18T16:42:00Z</dcterms:modified>
</cp:coreProperties>
</file>